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adjustRightInd w:val="0"/>
        <w:snapToGrid w:val="0"/>
        <w:spacing w:line="240" w:lineRule="atLeast"/>
        <w:jc w:val="center"/>
        <w:rPr>
          <w:rFonts w:hint="eastAsia" w:hAnsi="宋体" w:eastAsia="宋体"/>
          <w:lang w:val="en-US" w:eastAsia="zh-CN"/>
        </w:rPr>
      </w:pPr>
    </w:p>
    <w:p>
      <w:pPr>
        <w:pStyle w:val="22"/>
        <w:adjustRightInd w:val="0"/>
        <w:snapToGrid w:val="0"/>
        <w:spacing w:line="240" w:lineRule="atLeast"/>
        <w:jc w:val="center"/>
        <w:rPr>
          <w:rFonts w:hAnsi="宋体"/>
        </w:rPr>
      </w:pPr>
    </w:p>
    <w:p>
      <w:pPr>
        <w:pStyle w:val="22"/>
        <w:adjustRightInd w:val="0"/>
        <w:snapToGrid w:val="0"/>
        <w:spacing w:line="240" w:lineRule="atLeast"/>
        <w:jc w:val="center"/>
        <w:rPr>
          <w:rFonts w:hAnsi="宋体"/>
        </w:rPr>
      </w:pPr>
    </w:p>
    <w:p>
      <w:pPr>
        <w:pStyle w:val="22"/>
        <w:adjustRightInd w:val="0"/>
        <w:snapToGrid w:val="0"/>
        <w:spacing w:line="240" w:lineRule="atLeast"/>
        <w:jc w:val="center"/>
        <w:rPr>
          <w:rFonts w:hAnsi="宋体"/>
        </w:rPr>
      </w:pPr>
    </w:p>
    <w:p>
      <w:pPr>
        <w:pStyle w:val="22"/>
        <w:adjustRightInd w:val="0"/>
        <w:snapToGrid w:val="0"/>
        <w:spacing w:line="240" w:lineRule="atLeast"/>
        <w:jc w:val="center"/>
        <w:rPr>
          <w:rFonts w:ascii="华文中宋" w:hAnsi="华文中宋" w:eastAsia="华文中宋"/>
          <w:b/>
          <w:bCs/>
          <w:sz w:val="84"/>
          <w:szCs w:val="84"/>
        </w:rPr>
      </w:pPr>
      <w:r>
        <w:rPr>
          <w:rFonts w:hint="eastAsia" w:ascii="华文中宋" w:hAnsi="华文中宋" w:eastAsia="华文中宋"/>
          <w:b/>
          <w:bCs/>
          <w:sz w:val="84"/>
          <w:szCs w:val="84"/>
        </w:rPr>
        <w:t>项目招标文件</w:t>
      </w:r>
    </w:p>
    <w:p>
      <w:pPr>
        <w:pStyle w:val="22"/>
        <w:adjustRightInd w:val="0"/>
        <w:snapToGrid w:val="0"/>
        <w:spacing w:line="240" w:lineRule="atLeast"/>
        <w:jc w:val="center"/>
        <w:rPr>
          <w:rFonts w:ascii="华文中宋" w:hAnsi="华文中宋" w:eastAsia="华文中宋"/>
          <w:b/>
          <w:bCs/>
          <w:color w:val="FF0000"/>
          <w:sz w:val="44"/>
          <w:szCs w:val="44"/>
        </w:rPr>
      </w:pPr>
    </w:p>
    <w:p>
      <w:pPr>
        <w:pStyle w:val="22"/>
        <w:adjustRightInd w:val="0"/>
        <w:snapToGrid w:val="0"/>
        <w:spacing w:line="240" w:lineRule="atLeast"/>
        <w:jc w:val="center"/>
        <w:rPr>
          <w:rFonts w:ascii="华文中宋" w:hAnsi="华文中宋" w:eastAsia="华文中宋"/>
          <w:b/>
          <w:bCs/>
          <w:color w:val="FF0000"/>
          <w:sz w:val="44"/>
          <w:szCs w:val="44"/>
        </w:rPr>
      </w:pPr>
    </w:p>
    <w:p>
      <w:pPr>
        <w:pStyle w:val="22"/>
        <w:adjustRightInd w:val="0"/>
        <w:snapToGrid w:val="0"/>
        <w:spacing w:line="240" w:lineRule="atLeast"/>
        <w:jc w:val="center"/>
        <w:rPr>
          <w:rFonts w:ascii="华文中宋" w:hAnsi="华文中宋" w:eastAsia="华文中宋"/>
          <w:bCs/>
        </w:rPr>
      </w:pPr>
    </w:p>
    <w:p>
      <w:pPr>
        <w:adjustRightInd w:val="0"/>
        <w:snapToGrid w:val="0"/>
        <w:spacing w:line="360" w:lineRule="auto"/>
        <w:ind w:firstLine="1124" w:firstLineChars="350"/>
        <w:rPr>
          <w:b/>
          <w:szCs w:val="21"/>
        </w:rPr>
      </w:pPr>
      <w:r>
        <w:rPr>
          <w:rFonts w:hint="eastAsia" w:hAnsi="宋体"/>
          <w:b/>
          <w:sz w:val="32"/>
          <w:szCs w:val="32"/>
        </w:rPr>
        <w:t>采购项目名称：</w:t>
      </w:r>
      <w:r>
        <w:rPr>
          <w:rFonts w:hint="eastAsia" w:hAnsi="宋体"/>
          <w:b/>
          <w:sz w:val="32"/>
          <w:szCs w:val="32"/>
          <w:u w:val="single"/>
        </w:rPr>
        <w:t xml:space="preserve"> 湖南科技学院学生食堂物资配送供应商采购项目 </w:t>
      </w:r>
    </w:p>
    <w:p>
      <w:pPr>
        <w:adjustRightInd w:val="0"/>
        <w:snapToGrid w:val="0"/>
        <w:spacing w:line="360" w:lineRule="auto"/>
        <w:ind w:firstLine="1124" w:firstLineChars="350"/>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val="en-US" w:eastAsia="zh-CN"/>
        </w:rPr>
        <w:t xml:space="preserve">TJYZ-22-0101 </w:t>
      </w:r>
      <w:r>
        <w:rPr>
          <w:rFonts w:hint="eastAsia" w:hAnsi="宋体"/>
          <w:b/>
          <w:sz w:val="32"/>
          <w:szCs w:val="32"/>
          <w:u w:val="single"/>
        </w:rPr>
        <w:t xml:space="preserve">  </w:t>
      </w:r>
    </w:p>
    <w:p>
      <w:pPr>
        <w:adjustRightInd w:val="0"/>
        <w:snapToGrid w:val="0"/>
        <w:spacing w:line="360" w:lineRule="auto"/>
        <w:ind w:firstLine="1124" w:firstLineChars="350"/>
        <w:rPr>
          <w:rFonts w:hAnsi="宋体"/>
          <w:b/>
          <w:sz w:val="32"/>
          <w:szCs w:val="32"/>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湖南科技学院  </w:t>
      </w:r>
    </w:p>
    <w:p>
      <w:pPr>
        <w:adjustRightInd w:val="0"/>
        <w:snapToGrid w:val="0"/>
        <w:spacing w:line="360" w:lineRule="auto"/>
        <w:ind w:firstLine="1124" w:firstLineChars="350"/>
        <w:rPr>
          <w:rFonts w:ascii="宋体"/>
          <w:b/>
          <w:sz w:val="32"/>
          <w:szCs w:val="21"/>
        </w:rPr>
      </w:pPr>
      <w:r>
        <w:rPr>
          <w:rFonts w:hint="eastAsia" w:ascii="宋体"/>
          <w:b/>
          <w:sz w:val="32"/>
          <w:szCs w:val="21"/>
        </w:rPr>
        <w:t>采购代理机构：</w:t>
      </w:r>
      <w:r>
        <w:rPr>
          <w:rFonts w:hint="eastAsia" w:ascii="宋体"/>
          <w:b/>
          <w:sz w:val="32"/>
          <w:szCs w:val="21"/>
          <w:u w:val="single"/>
        </w:rPr>
        <w:t xml:space="preserve"> </w:t>
      </w:r>
      <w:r>
        <w:rPr>
          <w:rFonts w:hint="eastAsia" w:ascii="宋体"/>
          <w:b/>
          <w:sz w:val="32"/>
          <w:szCs w:val="21"/>
          <w:u w:val="single"/>
          <w:lang w:val="en-US" w:eastAsia="zh-CN"/>
        </w:rPr>
        <w:t>天鉴国际工程管理有限公司</w:t>
      </w:r>
      <w:r>
        <w:rPr>
          <w:rFonts w:hint="eastAsia" w:ascii="宋体"/>
          <w:b/>
          <w:sz w:val="32"/>
          <w:szCs w:val="21"/>
          <w:u w:val="single"/>
        </w:rPr>
        <w:t xml:space="preserve">  </w:t>
      </w:r>
    </w:p>
    <w:p>
      <w:pPr>
        <w:pStyle w:val="22"/>
        <w:adjustRightInd w:val="0"/>
        <w:snapToGrid w:val="0"/>
        <w:spacing w:line="360" w:lineRule="auto"/>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Cs/>
          <w:sz w:val="32"/>
          <w:szCs w:val="32"/>
        </w:rPr>
      </w:pPr>
    </w:p>
    <w:p>
      <w:pPr>
        <w:pStyle w:val="22"/>
        <w:adjustRightInd w:val="0"/>
        <w:snapToGrid w:val="0"/>
        <w:spacing w:line="240" w:lineRule="atLeast"/>
        <w:jc w:val="center"/>
        <w:rPr>
          <w:rFonts w:hAnsi="宋体"/>
          <w:b/>
          <w:bCs/>
          <w:sz w:val="32"/>
          <w:szCs w:val="32"/>
        </w:rPr>
      </w:pPr>
      <w:r>
        <w:rPr>
          <w:rFonts w:hint="eastAsia" w:hAnsi="宋体"/>
          <w:b/>
          <w:sz w:val="32"/>
          <w:lang w:val="en-US" w:eastAsia="zh-CN"/>
        </w:rPr>
        <w:t>2022</w:t>
      </w:r>
      <w:r>
        <w:rPr>
          <w:rFonts w:hint="eastAsia" w:hAnsi="宋体"/>
          <w:b/>
          <w:sz w:val="32"/>
        </w:rPr>
        <w:t xml:space="preserve"> 年</w:t>
      </w:r>
      <w:r>
        <w:rPr>
          <w:rFonts w:hint="eastAsia" w:hAnsi="宋体"/>
          <w:b/>
          <w:sz w:val="32"/>
          <w:lang w:val="en-US" w:eastAsia="zh-CN"/>
        </w:rPr>
        <w:t>1</w:t>
      </w:r>
      <w:r>
        <w:rPr>
          <w:rFonts w:hint="eastAsia" w:hAnsi="宋体"/>
          <w:b/>
          <w:sz w:val="32"/>
        </w:rPr>
        <w:t>月</w:t>
      </w:r>
    </w:p>
    <w:p>
      <w:pPr>
        <w:pStyle w:val="22"/>
        <w:adjustRightInd w:val="0"/>
        <w:snapToGrid w:val="0"/>
        <w:spacing w:line="240" w:lineRule="atLeast"/>
        <w:jc w:val="center"/>
        <w:rPr>
          <w:rFonts w:hAnsi="宋体"/>
          <w:b/>
          <w:bCs/>
          <w:sz w:val="32"/>
          <w:szCs w:val="32"/>
        </w:rPr>
      </w:pPr>
    </w:p>
    <w:p>
      <w:pPr>
        <w:pStyle w:val="22"/>
        <w:adjustRightInd w:val="0"/>
        <w:snapToGrid w:val="0"/>
        <w:spacing w:line="240" w:lineRule="atLeast"/>
        <w:jc w:val="center"/>
        <w:rPr>
          <w:rFonts w:hAnsi="宋体"/>
          <w:b/>
          <w:bCs/>
          <w:sz w:val="32"/>
          <w:szCs w:val="32"/>
        </w:rPr>
        <w:sectPr>
          <w:headerReference r:id="rId3" w:type="default"/>
          <w:footerReference r:id="rId4" w:type="default"/>
          <w:pgSz w:w="11906" w:h="16838"/>
          <w:pgMar w:top="1440" w:right="1588" w:bottom="1440"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22"/>
        <w:adjustRightInd w:val="0"/>
        <w:snapToGrid w:val="0"/>
        <w:spacing w:line="360" w:lineRule="auto"/>
        <w:jc w:val="center"/>
        <w:rPr>
          <w:rFonts w:ascii="华文中宋" w:hAnsi="华文中宋" w:eastAsia="华文中宋"/>
          <w:b/>
          <w:spacing w:val="160"/>
          <w:sz w:val="36"/>
          <w:szCs w:val="36"/>
        </w:rPr>
      </w:pPr>
      <w:r>
        <w:rPr>
          <w:rFonts w:hint="eastAsia" w:ascii="华文中宋" w:hAnsi="华文中宋" w:eastAsia="华文中宋"/>
          <w:b/>
          <w:spacing w:val="160"/>
          <w:sz w:val="36"/>
          <w:szCs w:val="36"/>
        </w:rPr>
        <w:t>目录</w:t>
      </w:r>
    </w:p>
    <w:p>
      <w:pPr>
        <w:pStyle w:val="29"/>
        <w:tabs>
          <w:tab w:val="right" w:leader="dot" w:pos="8834"/>
        </w:tabs>
        <w:rPr>
          <w:rFonts w:asciiTheme="minorHAnsi" w:hAnsiTheme="minorHAnsi" w:cstheme="minorBidi"/>
          <w:b w:val="0"/>
          <w:sz w:val="21"/>
          <w:szCs w:val="22"/>
        </w:rPr>
      </w:pPr>
      <w:r>
        <w:rPr>
          <w:rStyle w:val="45"/>
          <w:b w:val="0"/>
        </w:rPr>
        <w:fldChar w:fldCharType="begin"/>
      </w:r>
      <w:r>
        <w:rPr>
          <w:rStyle w:val="45"/>
          <w:b w:val="0"/>
        </w:rPr>
        <w:instrText xml:space="preserve"> TOC \o "1-4" \h \z \u </w:instrText>
      </w:r>
      <w:r>
        <w:rPr>
          <w:rStyle w:val="45"/>
          <w:b w:val="0"/>
        </w:rPr>
        <w:fldChar w:fldCharType="separate"/>
      </w:r>
      <w:r>
        <w:fldChar w:fldCharType="begin"/>
      </w:r>
      <w:r>
        <w:instrText xml:space="preserve"> HYPERLINK \l "_Toc20651190" </w:instrText>
      </w:r>
      <w:r>
        <w:fldChar w:fldCharType="separate"/>
      </w:r>
      <w:r>
        <w:rPr>
          <w:rStyle w:val="48"/>
          <w:rFonts w:hint="eastAsia" w:ascii="黑体" w:hAnsi="华文中宋" w:eastAsia="黑体"/>
        </w:rPr>
        <w:t>第一章</w:t>
      </w:r>
      <w:r>
        <w:rPr>
          <w:rStyle w:val="48"/>
          <w:rFonts w:ascii="黑体" w:hAnsi="华文中宋" w:eastAsia="黑体"/>
        </w:rPr>
        <w:t xml:space="preserve"> </w:t>
      </w:r>
      <w:r>
        <w:rPr>
          <w:rStyle w:val="48"/>
          <w:rFonts w:hint="eastAsia" w:ascii="黑体" w:hAnsi="华文中宋" w:eastAsia="黑体"/>
        </w:rPr>
        <w:t>投标邀请（公开招标）</w:t>
      </w:r>
      <w:r>
        <w:tab/>
      </w:r>
      <w:r>
        <w:fldChar w:fldCharType="begin"/>
      </w:r>
      <w:r>
        <w:instrText xml:space="preserve"> PAGEREF _Toc20651190 \h </w:instrText>
      </w:r>
      <w:r>
        <w:fldChar w:fldCharType="separate"/>
      </w:r>
      <w:r>
        <w:t>2</w:t>
      </w:r>
      <w:r>
        <w:fldChar w:fldCharType="end"/>
      </w:r>
      <w:r>
        <w:fldChar w:fldCharType="end"/>
      </w:r>
    </w:p>
    <w:p>
      <w:pPr>
        <w:pStyle w:val="29"/>
        <w:tabs>
          <w:tab w:val="right" w:leader="dot" w:pos="8834"/>
        </w:tabs>
        <w:rPr>
          <w:rFonts w:asciiTheme="minorHAnsi" w:hAnsiTheme="minorHAnsi" w:cstheme="minorBidi"/>
          <w:b w:val="0"/>
          <w:szCs w:val="22"/>
        </w:rPr>
      </w:pPr>
      <w:r>
        <w:fldChar w:fldCharType="begin"/>
      </w:r>
      <w:r>
        <w:instrText xml:space="preserve"> HYPERLINK \l "_Toc20651193" </w:instrText>
      </w:r>
      <w:r>
        <w:fldChar w:fldCharType="separate"/>
      </w:r>
      <w:r>
        <w:rPr>
          <w:rStyle w:val="48"/>
          <w:rFonts w:hint="eastAsia" w:ascii="黑体" w:hAnsi="华文中宋" w:eastAsia="黑体"/>
        </w:rPr>
        <w:t>第二章</w:t>
      </w:r>
      <w:r>
        <w:rPr>
          <w:rStyle w:val="48"/>
          <w:rFonts w:ascii="黑体" w:hAnsi="华文中宋" w:eastAsia="黑体"/>
        </w:rPr>
        <w:t xml:space="preserve"> </w:t>
      </w:r>
      <w:r>
        <w:rPr>
          <w:rStyle w:val="48"/>
          <w:rFonts w:hint="eastAsia" w:ascii="黑体" w:hAnsi="华文中宋" w:eastAsia="黑体"/>
        </w:rPr>
        <w:t>投标须知</w:t>
      </w:r>
      <w:r>
        <w:tab/>
      </w:r>
      <w:r>
        <w:fldChar w:fldCharType="begin"/>
      </w:r>
      <w:r>
        <w:instrText xml:space="preserve"> PAGEREF _Toc20651193 \h </w:instrText>
      </w:r>
      <w:r>
        <w:fldChar w:fldCharType="separate"/>
      </w:r>
      <w:r>
        <w:t>5</w:t>
      </w:r>
      <w:r>
        <w:fldChar w:fldCharType="end"/>
      </w:r>
      <w:r>
        <w:fldChar w:fldCharType="end"/>
      </w:r>
    </w:p>
    <w:p>
      <w:pPr>
        <w:pStyle w:val="29"/>
        <w:tabs>
          <w:tab w:val="right" w:leader="dot" w:pos="8834"/>
        </w:tabs>
        <w:rPr>
          <w:rFonts w:asciiTheme="minorHAnsi" w:hAnsiTheme="minorHAnsi" w:cstheme="minorBidi"/>
          <w:b w:val="0"/>
          <w:sz w:val="21"/>
          <w:szCs w:val="22"/>
        </w:rPr>
      </w:pPr>
      <w:r>
        <w:fldChar w:fldCharType="begin"/>
      </w:r>
      <w:r>
        <w:instrText xml:space="preserve"> HYPERLINK \l "_Toc20651205" </w:instrText>
      </w:r>
      <w:r>
        <w:fldChar w:fldCharType="separate"/>
      </w:r>
      <w:r>
        <w:rPr>
          <w:rStyle w:val="48"/>
          <w:rFonts w:hint="eastAsia" w:ascii="黑体" w:hAnsi="黑体" w:eastAsia="黑体"/>
        </w:rPr>
        <w:t>第三章</w:t>
      </w:r>
      <w:r>
        <w:rPr>
          <w:rStyle w:val="48"/>
          <w:rFonts w:ascii="黑体" w:hAnsi="黑体" w:eastAsia="黑体"/>
        </w:rPr>
        <w:t xml:space="preserve"> </w:t>
      </w:r>
      <w:r>
        <w:rPr>
          <w:rStyle w:val="48"/>
          <w:rFonts w:hint="eastAsia" w:ascii="黑体" w:hAnsi="黑体" w:eastAsia="黑体"/>
        </w:rPr>
        <w:t>资格审查</w:t>
      </w:r>
      <w:r>
        <w:tab/>
      </w:r>
      <w:r>
        <w:fldChar w:fldCharType="begin"/>
      </w:r>
      <w:r>
        <w:instrText xml:space="preserve"> PAGEREF _Toc20651205 \h </w:instrText>
      </w:r>
      <w:r>
        <w:fldChar w:fldCharType="separate"/>
      </w:r>
      <w:r>
        <w:t>24</w:t>
      </w:r>
      <w:r>
        <w:fldChar w:fldCharType="end"/>
      </w:r>
      <w:r>
        <w:fldChar w:fldCharType="end"/>
      </w:r>
    </w:p>
    <w:p>
      <w:pPr>
        <w:pStyle w:val="29"/>
        <w:tabs>
          <w:tab w:val="right" w:leader="dot" w:pos="8834"/>
        </w:tabs>
        <w:rPr>
          <w:rFonts w:asciiTheme="minorHAnsi" w:hAnsiTheme="minorHAnsi" w:cstheme="minorBidi"/>
          <w:b w:val="0"/>
          <w:sz w:val="21"/>
          <w:szCs w:val="22"/>
        </w:rPr>
      </w:pPr>
      <w:r>
        <w:fldChar w:fldCharType="begin"/>
      </w:r>
      <w:r>
        <w:instrText xml:space="preserve"> HYPERLINK \l "_Toc20651213" </w:instrText>
      </w:r>
      <w:r>
        <w:fldChar w:fldCharType="separate"/>
      </w:r>
      <w:r>
        <w:rPr>
          <w:rStyle w:val="48"/>
          <w:rFonts w:hint="eastAsia" w:ascii="黑体" w:hAnsi="华文中宋" w:eastAsia="黑体"/>
        </w:rPr>
        <w:t>第四章</w:t>
      </w:r>
      <w:r>
        <w:rPr>
          <w:rStyle w:val="48"/>
          <w:rFonts w:ascii="黑体" w:hAnsi="华文中宋" w:eastAsia="黑体"/>
        </w:rPr>
        <w:t xml:space="preserve"> </w:t>
      </w:r>
      <w:r>
        <w:rPr>
          <w:rStyle w:val="48"/>
          <w:rFonts w:hint="eastAsia" w:ascii="黑体" w:hAnsi="华文中宋" w:eastAsia="黑体"/>
        </w:rPr>
        <w:t>评标方法及标准</w:t>
      </w:r>
      <w:r>
        <w:tab/>
      </w:r>
      <w:r>
        <w:fldChar w:fldCharType="begin"/>
      </w:r>
      <w:r>
        <w:instrText xml:space="preserve"> PAGEREF _Toc20651213 \h </w:instrText>
      </w:r>
      <w:r>
        <w:fldChar w:fldCharType="separate"/>
      </w:r>
      <w:r>
        <w:t>29</w:t>
      </w:r>
      <w:r>
        <w:fldChar w:fldCharType="end"/>
      </w:r>
      <w:r>
        <w:fldChar w:fldCharType="end"/>
      </w:r>
    </w:p>
    <w:p>
      <w:pPr>
        <w:pStyle w:val="29"/>
        <w:tabs>
          <w:tab w:val="right" w:leader="dot" w:pos="8834"/>
        </w:tabs>
        <w:rPr>
          <w:rFonts w:asciiTheme="minorHAnsi" w:hAnsiTheme="minorHAnsi" w:cstheme="minorBidi"/>
          <w:b w:val="0"/>
          <w:sz w:val="21"/>
          <w:szCs w:val="22"/>
        </w:rPr>
      </w:pPr>
      <w:r>
        <w:fldChar w:fldCharType="begin"/>
      </w:r>
      <w:r>
        <w:instrText xml:space="preserve"> HYPERLINK \l "_Toc20651233" </w:instrText>
      </w:r>
      <w:r>
        <w:fldChar w:fldCharType="separate"/>
      </w:r>
      <w:r>
        <w:rPr>
          <w:rStyle w:val="48"/>
          <w:rFonts w:hint="eastAsia" w:ascii="黑体" w:hAnsi="华文中宋" w:eastAsia="黑体"/>
        </w:rPr>
        <w:t>第五章</w:t>
      </w:r>
      <w:r>
        <w:rPr>
          <w:rStyle w:val="48"/>
          <w:rFonts w:ascii="黑体" w:hAnsi="华文中宋" w:eastAsia="黑体"/>
        </w:rPr>
        <w:t xml:space="preserve"> </w:t>
      </w:r>
      <w:r>
        <w:rPr>
          <w:rStyle w:val="48"/>
          <w:rFonts w:hint="eastAsia" w:ascii="黑体" w:hAnsi="华文中宋" w:eastAsia="黑体"/>
        </w:rPr>
        <w:t>采购需求</w:t>
      </w:r>
      <w:r>
        <w:tab/>
      </w:r>
      <w:r>
        <w:fldChar w:fldCharType="begin"/>
      </w:r>
      <w:r>
        <w:instrText xml:space="preserve"> PAGEREF _Toc20651233 \h </w:instrText>
      </w:r>
      <w:r>
        <w:fldChar w:fldCharType="separate"/>
      </w:r>
      <w:r>
        <w:t>48</w:t>
      </w:r>
      <w:r>
        <w:fldChar w:fldCharType="end"/>
      </w:r>
      <w:r>
        <w:fldChar w:fldCharType="end"/>
      </w:r>
    </w:p>
    <w:p>
      <w:pPr>
        <w:pStyle w:val="29"/>
        <w:tabs>
          <w:tab w:val="right" w:leader="dot" w:pos="8834"/>
        </w:tabs>
        <w:rPr>
          <w:rFonts w:asciiTheme="minorHAnsi" w:hAnsiTheme="minorHAnsi" w:eastAsiaTheme="minorEastAsia" w:cstheme="minorBidi"/>
          <w:b w:val="0"/>
          <w:szCs w:val="22"/>
        </w:rPr>
      </w:pPr>
      <w:r>
        <w:fldChar w:fldCharType="begin"/>
      </w:r>
      <w:r>
        <w:instrText xml:space="preserve"> HYPERLINK \l "_Toc20651236" </w:instrText>
      </w:r>
      <w:r>
        <w:fldChar w:fldCharType="separate"/>
      </w:r>
      <w:r>
        <w:rPr>
          <w:rStyle w:val="48"/>
          <w:rFonts w:hint="eastAsia" w:ascii="黑体" w:hAnsi="华文中宋" w:eastAsia="黑体"/>
        </w:rPr>
        <w:t>第六章</w:t>
      </w:r>
      <w:r>
        <w:rPr>
          <w:rStyle w:val="48"/>
          <w:rFonts w:ascii="黑体" w:hAnsi="华文中宋" w:eastAsia="黑体"/>
        </w:rPr>
        <w:t xml:space="preserve"> </w:t>
      </w:r>
      <w:r>
        <w:rPr>
          <w:rStyle w:val="48"/>
          <w:rFonts w:hint="eastAsia" w:ascii="黑体" w:hAnsi="华文中宋" w:eastAsia="黑体"/>
        </w:rPr>
        <w:t>采购合同</w:t>
      </w:r>
      <w:r>
        <w:tab/>
      </w:r>
      <w:r>
        <w:fldChar w:fldCharType="begin"/>
      </w:r>
      <w:r>
        <w:instrText xml:space="preserve"> PAGEREF _Toc20651236 \h </w:instrText>
      </w:r>
      <w:r>
        <w:fldChar w:fldCharType="separate"/>
      </w:r>
      <w:r>
        <w:t>55</w:t>
      </w:r>
      <w:r>
        <w:fldChar w:fldCharType="end"/>
      </w:r>
      <w:r>
        <w:fldChar w:fldCharType="end"/>
      </w:r>
    </w:p>
    <w:p>
      <w:pPr>
        <w:pStyle w:val="29"/>
        <w:tabs>
          <w:tab w:val="right" w:leader="dot" w:pos="8834"/>
        </w:tabs>
        <w:rPr>
          <w:rFonts w:hint="eastAsia" w:asciiTheme="minorHAnsi" w:hAnsiTheme="minorHAnsi" w:eastAsiaTheme="minorEastAsia" w:cstheme="minorBidi"/>
          <w:b w:val="0"/>
          <w:sz w:val="21"/>
          <w:szCs w:val="22"/>
          <w:lang w:val="en-US" w:eastAsia="zh-CN"/>
        </w:rPr>
      </w:pPr>
      <w:r>
        <w:fldChar w:fldCharType="begin"/>
      </w:r>
      <w:r>
        <w:instrText xml:space="preserve"> HYPERLINK \l "_Toc20651240" </w:instrText>
      </w:r>
      <w:r>
        <w:fldChar w:fldCharType="separate"/>
      </w:r>
      <w:r>
        <w:rPr>
          <w:rStyle w:val="48"/>
          <w:rFonts w:hint="eastAsia" w:ascii="黑体" w:hAnsi="华文中宋" w:eastAsia="黑体"/>
        </w:rPr>
        <w:t>第七章</w:t>
      </w:r>
      <w:r>
        <w:rPr>
          <w:rStyle w:val="48"/>
          <w:rFonts w:ascii="黑体" w:hAnsi="华文中宋" w:eastAsia="黑体"/>
        </w:rPr>
        <w:t xml:space="preserve"> </w:t>
      </w:r>
      <w:r>
        <w:rPr>
          <w:rStyle w:val="48"/>
          <w:rFonts w:hint="eastAsia" w:ascii="黑体" w:hAnsi="华文中宋" w:eastAsia="黑体"/>
        </w:rPr>
        <w:t>投标文件的组成</w:t>
      </w:r>
      <w:r>
        <w:tab/>
      </w:r>
      <w:r>
        <w:rPr>
          <w:rFonts w:hint="eastAsia"/>
          <w:lang w:val="en-US" w:eastAsia="zh-CN"/>
        </w:rPr>
        <w:t>6</w:t>
      </w:r>
      <w:r>
        <w:fldChar w:fldCharType="end"/>
      </w:r>
      <w:r>
        <w:rPr>
          <w:rFonts w:hint="eastAsia"/>
          <w:lang w:val="en-US" w:eastAsia="zh-CN"/>
        </w:rPr>
        <w:t>7</w:t>
      </w:r>
    </w:p>
    <w:p>
      <w:pPr>
        <w:pStyle w:val="22"/>
        <w:adjustRightInd w:val="0"/>
        <w:snapToGrid w:val="0"/>
        <w:spacing w:line="360" w:lineRule="auto"/>
        <w:outlineLvl w:val="0"/>
        <w:rPr>
          <w:rFonts w:hAnsi="宋体"/>
        </w:rPr>
      </w:pPr>
      <w:r>
        <w:rPr>
          <w:rStyle w:val="45"/>
          <w:rFonts w:cs="Times New Roman" w:asciiTheme="minorEastAsia" w:hAnsiTheme="minorEastAsia" w:eastAsiaTheme="minorEastAsia"/>
          <w:sz w:val="24"/>
        </w:rPr>
        <w:fldChar w:fldCharType="end"/>
      </w:r>
      <w:r>
        <w:rPr>
          <w:rFonts w:hAnsi="宋体"/>
        </w:rPr>
        <w:t xml:space="preserve"> </w:t>
      </w:r>
    </w:p>
    <w:p>
      <w:pPr>
        <w:adjustRightInd w:val="0"/>
        <w:snapToGrid w:val="0"/>
        <w:spacing w:line="240" w:lineRule="atLeast"/>
        <w:ind w:firstLine="840" w:firstLineChars="400"/>
        <w:rPr>
          <w:rFonts w:ascii="宋体" w:hAnsi="宋体"/>
          <w:szCs w:val="21"/>
        </w:rPr>
      </w:pPr>
    </w:p>
    <w:p>
      <w:pPr>
        <w:pStyle w:val="3"/>
        <w:sectPr>
          <w:headerReference r:id="rId7" w:type="first"/>
          <w:headerReference r:id="rId5" w:type="default"/>
          <w:footerReference r:id="rId8" w:type="default"/>
          <w:headerReference r:id="rId6" w:type="even"/>
          <w:pgSz w:w="11906" w:h="16838"/>
          <w:pgMar w:top="1474" w:right="1474" w:bottom="1474" w:left="1588"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0" w:name="_Toc21001314"/>
      <w:bookmarkStart w:id="1" w:name="_Toc21000471"/>
      <w:bookmarkStart w:id="2" w:name="_Toc20988241"/>
      <w:bookmarkStart w:id="3" w:name="_Toc20816073"/>
      <w:bookmarkStart w:id="4" w:name="_Toc20642243"/>
      <w:bookmarkStart w:id="5" w:name="_Toc35421027"/>
      <w:bookmarkStart w:id="6" w:name="_Toc34720698"/>
      <w:bookmarkStart w:id="7" w:name="_Toc53472201"/>
    </w:p>
    <w:p>
      <w:pPr>
        <w:pStyle w:val="3"/>
        <w:rPr>
          <w:rFonts w:ascii="黑体" w:hAnsi="华文中宋" w:eastAsia="黑体"/>
          <w:sz w:val="32"/>
          <w:szCs w:val="32"/>
        </w:rPr>
      </w:pPr>
      <w:bookmarkStart w:id="8" w:name="_Toc20651190"/>
      <w:r>
        <w:rPr>
          <w:rFonts w:hint="eastAsia" w:ascii="黑体" w:hAnsi="华文中宋" w:eastAsia="黑体"/>
          <w:sz w:val="32"/>
          <w:szCs w:val="32"/>
        </w:rPr>
        <w:t>第一章 投标邀请（公开招标）</w:t>
      </w:r>
      <w:bookmarkEnd w:id="8"/>
    </w:p>
    <w:p>
      <w:pPr>
        <w:pStyle w:val="22"/>
        <w:adjustRightInd w:val="0"/>
        <w:snapToGrid w:val="0"/>
        <w:spacing w:line="360" w:lineRule="auto"/>
        <w:jc w:val="center"/>
        <w:rPr>
          <w:rFonts w:hAnsi="宋体"/>
          <w:iCs/>
        </w:rPr>
      </w:pP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szCs w:val="21"/>
          <w:u w:val="single"/>
        </w:rPr>
        <w:t xml:space="preserve"> 湖南科技学院  </w:t>
      </w:r>
      <w:r>
        <w:rPr>
          <w:rFonts w:hint="eastAsia" w:asciiTheme="minorEastAsia" w:hAnsiTheme="minorEastAsia" w:eastAsiaTheme="minorEastAsia"/>
          <w:szCs w:val="21"/>
        </w:rPr>
        <w:t>（采购人名称）的</w:t>
      </w:r>
      <w:r>
        <w:rPr>
          <w:rFonts w:hint="eastAsia" w:asciiTheme="minorEastAsia" w:hAnsiTheme="minorEastAsia"/>
          <w:szCs w:val="21"/>
          <w:u w:val="single"/>
        </w:rPr>
        <w:t xml:space="preserve"> 湖南科技学院学生食堂物资配送供应商采购项目  </w:t>
      </w:r>
      <w:r>
        <w:rPr>
          <w:rFonts w:hint="eastAsia" w:asciiTheme="minorEastAsia" w:hAnsiTheme="minorEastAsia" w:eastAsiaTheme="minorEastAsia"/>
          <w:szCs w:val="21"/>
        </w:rPr>
        <w:t xml:space="preserve"> (项目名称)进行公开招标采购，现邀请合格投标人参加投标。</w:t>
      </w:r>
    </w:p>
    <w:p>
      <w:pPr>
        <w:adjustRightInd w:val="0"/>
        <w:snapToGrid w:val="0"/>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一、采购项目名称、编号</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1、采购项目名称：</w:t>
      </w:r>
      <w:r>
        <w:rPr>
          <w:rFonts w:hint="eastAsia" w:asciiTheme="minorEastAsia" w:hAnsiTheme="minorEastAsia"/>
          <w:szCs w:val="21"/>
          <w:u w:val="single"/>
        </w:rPr>
        <w:t xml:space="preserve">  湖南科技学院学生食堂物资配送供应商采购项目  </w:t>
      </w:r>
      <w:r>
        <w:rPr>
          <w:rFonts w:hint="eastAsia" w:asciiTheme="minorEastAsia" w:hAnsiTheme="minorEastAsia" w:eastAsiaTheme="minorEastAsia"/>
          <w:szCs w:val="21"/>
        </w:rPr>
        <w:t xml:space="preserve"> </w:t>
      </w:r>
    </w:p>
    <w:p>
      <w:pPr>
        <w:adjustRightInd w:val="0"/>
        <w:snapToGrid w:val="0"/>
        <w:spacing w:line="360" w:lineRule="auto"/>
        <w:ind w:firstLine="420" w:firstLineChars="200"/>
        <w:rPr>
          <w:rFonts w:asciiTheme="minorEastAsia" w:hAnsiTheme="minorEastAsia" w:eastAsiaTheme="minorEastAsia"/>
          <w:i/>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、采购代理编号：</w:t>
      </w:r>
      <w:r>
        <w:rPr>
          <w:rFonts w:hint="eastAsia" w:asciiTheme="minorEastAsia" w:hAnsiTheme="minorEastAsia"/>
          <w:szCs w:val="21"/>
          <w:u w:val="single"/>
        </w:rPr>
        <w:t xml:space="preserve">  </w:t>
      </w:r>
      <w:r>
        <w:rPr>
          <w:rFonts w:hint="eastAsia" w:asciiTheme="minorEastAsia" w:hAnsiTheme="minorEastAsia"/>
          <w:szCs w:val="21"/>
          <w:u w:val="single"/>
          <w:lang w:val="en-US" w:eastAsia="zh-CN"/>
        </w:rPr>
        <w:t xml:space="preserve">TJYZ-22-0101 </w:t>
      </w:r>
      <w:r>
        <w:rPr>
          <w:rFonts w:hint="eastAsia" w:asciiTheme="minorEastAsia" w:hAnsiTheme="minorEastAsia"/>
          <w:szCs w:val="21"/>
          <w:u w:val="single"/>
        </w:rPr>
        <w:t xml:space="preserve"> </w:t>
      </w:r>
    </w:p>
    <w:p>
      <w:pPr>
        <w:adjustRightInd w:val="0"/>
        <w:snapToGrid w:val="0"/>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二、采购人的采购需求</w:t>
      </w:r>
    </w:p>
    <w:tbl>
      <w:tblPr>
        <w:tblStyle w:val="43"/>
        <w:tblW w:w="8717"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83"/>
        <w:gridCol w:w="1025"/>
        <w:gridCol w:w="1880"/>
        <w:gridCol w:w="855"/>
        <w:gridCol w:w="1880"/>
        <w:gridCol w:w="2394"/>
      </w:tblGrid>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09" w:hRule="atLeast"/>
        </w:trPr>
        <w:tc>
          <w:tcPr>
            <w:tcW w:w="683" w:type="dxa"/>
            <w:tcBorders>
              <w:righ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序号</w:t>
            </w:r>
          </w:p>
        </w:tc>
        <w:tc>
          <w:tcPr>
            <w:tcW w:w="1025" w:type="dxa"/>
            <w:tcBorders>
              <w:lef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asciiTheme="minorEastAsia" w:hAnsiTheme="minorEastAsia" w:eastAsiaTheme="minorEastAsia"/>
                <w:kern w:val="0"/>
              </w:rPr>
              <w:t>包名称</w:t>
            </w:r>
          </w:p>
        </w:tc>
        <w:tc>
          <w:tcPr>
            <w:tcW w:w="1880" w:type="dxa"/>
            <w:tcBorders>
              <w:righ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简要技术要求</w:t>
            </w:r>
          </w:p>
        </w:tc>
        <w:tc>
          <w:tcPr>
            <w:tcW w:w="855" w:type="dxa"/>
            <w:tcBorders>
              <w:left w:val="single" w:color="auto" w:sz="4" w:space="0"/>
              <w:righ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数量</w:t>
            </w:r>
          </w:p>
        </w:tc>
        <w:tc>
          <w:tcPr>
            <w:tcW w:w="1880" w:type="dxa"/>
            <w:tcBorders>
              <w:left w:val="single" w:color="auto" w:sz="4" w:space="0"/>
              <w:righ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采购项目预算</w:t>
            </w:r>
          </w:p>
        </w:tc>
        <w:tc>
          <w:tcPr>
            <w:tcW w:w="2394" w:type="dxa"/>
            <w:tcBorders>
              <w:left w:val="single" w:color="auto" w:sz="4" w:space="0"/>
            </w:tcBorders>
            <w:vAlign w:val="center"/>
          </w:tcPr>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采购项目最高限价</w:t>
            </w:r>
          </w:p>
          <w:p>
            <w:pPr>
              <w:widowControl/>
              <w:adjustRightInd w:val="0"/>
              <w:snapToGrid w:val="0"/>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（元人民币）</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57" w:hRule="atLeast"/>
        </w:trPr>
        <w:tc>
          <w:tcPr>
            <w:tcW w:w="683" w:type="dxa"/>
            <w:tcBorders>
              <w:right w:val="single" w:color="auto" w:sz="4" w:space="0"/>
            </w:tcBorders>
            <w:vAlign w:val="center"/>
          </w:tcPr>
          <w:p>
            <w:pPr>
              <w:pStyle w:val="22"/>
              <w:adjustRightInd w:val="0"/>
              <w:snapToGrid w:val="0"/>
              <w:spacing w:line="360" w:lineRule="auto"/>
              <w:jc w:val="center"/>
              <w:rPr>
                <w:rFonts w:hint="eastAsia" w:asciiTheme="minorEastAsia" w:hAnsiTheme="minorEastAsia" w:eastAsiaTheme="minorEastAsia"/>
                <w:kern w:val="0"/>
                <w:lang w:val="en-US" w:eastAsia="zh-CN"/>
              </w:rPr>
            </w:pPr>
            <w:r>
              <w:rPr>
                <w:rFonts w:hint="eastAsia" w:asciiTheme="minorEastAsia" w:hAnsiTheme="minorEastAsia" w:eastAsiaTheme="minorEastAsia"/>
                <w:kern w:val="0"/>
                <w:lang w:val="en-US" w:eastAsia="zh-CN"/>
              </w:rPr>
              <w:t>1</w:t>
            </w:r>
          </w:p>
        </w:tc>
        <w:tc>
          <w:tcPr>
            <w:tcW w:w="1025" w:type="dxa"/>
            <w:tcBorders>
              <w:left w:val="single" w:color="auto" w:sz="4" w:space="0"/>
            </w:tcBorders>
            <w:vAlign w:val="center"/>
          </w:tcPr>
          <w:p>
            <w:pPr>
              <w:pStyle w:val="22"/>
              <w:adjustRightInd w:val="0"/>
              <w:snapToGrid w:val="0"/>
              <w:spacing w:line="360" w:lineRule="auto"/>
              <w:jc w:val="center"/>
              <w:rPr>
                <w:rFonts w:asciiTheme="minorEastAsia" w:hAnsiTheme="minorEastAsia" w:eastAsiaTheme="minorEastAsia"/>
                <w:kern w:val="0"/>
              </w:rPr>
            </w:pPr>
            <w:r>
              <w:rPr>
                <w:rFonts w:hint="eastAsia" w:asciiTheme="minorEastAsia" w:hAnsiTheme="minorEastAsia"/>
                <w:szCs w:val="21"/>
                <w:u w:val="single"/>
              </w:rPr>
              <w:t>食堂物资配送</w:t>
            </w:r>
          </w:p>
        </w:tc>
        <w:tc>
          <w:tcPr>
            <w:tcW w:w="1880" w:type="dxa"/>
            <w:tcBorders>
              <w:right w:val="single" w:color="auto" w:sz="4" w:space="0"/>
            </w:tcBorders>
            <w:vAlign w:val="center"/>
          </w:tcPr>
          <w:p>
            <w:pPr>
              <w:pStyle w:val="22"/>
              <w:adjustRightInd w:val="0"/>
              <w:snapToGrid w:val="0"/>
              <w:spacing w:line="360" w:lineRule="auto"/>
              <w:jc w:val="center"/>
              <w:rPr>
                <w:rFonts w:hint="default" w:asciiTheme="minorEastAsia" w:hAnsiTheme="minorEastAsia" w:eastAsiaTheme="minorEastAsia"/>
                <w:kern w:val="0"/>
                <w:lang w:val="en-US" w:eastAsia="zh-CN"/>
              </w:rPr>
            </w:pPr>
            <w:r>
              <w:rPr>
                <w:rFonts w:hint="eastAsia" w:asciiTheme="minorEastAsia" w:hAnsiTheme="minorEastAsia" w:eastAsiaTheme="minorEastAsia"/>
                <w:kern w:val="0"/>
                <w:lang w:val="en-US" w:eastAsia="zh-CN"/>
              </w:rPr>
              <w:t>详见第五章采购需求</w:t>
            </w:r>
          </w:p>
        </w:tc>
        <w:tc>
          <w:tcPr>
            <w:tcW w:w="855" w:type="dxa"/>
            <w:tcBorders>
              <w:left w:val="single" w:color="auto" w:sz="4" w:space="0"/>
              <w:right w:val="single" w:color="auto" w:sz="4" w:space="0"/>
            </w:tcBorders>
            <w:vAlign w:val="center"/>
          </w:tcPr>
          <w:p>
            <w:pPr>
              <w:pStyle w:val="22"/>
              <w:adjustRightInd w:val="0"/>
              <w:snapToGrid w:val="0"/>
              <w:spacing w:line="360" w:lineRule="auto"/>
              <w:jc w:val="center"/>
              <w:rPr>
                <w:rFonts w:hint="default" w:asciiTheme="minorEastAsia" w:hAnsiTheme="minorEastAsia" w:eastAsiaTheme="minorEastAsia"/>
                <w:kern w:val="0"/>
                <w:lang w:val="en-US" w:eastAsia="zh-CN"/>
              </w:rPr>
            </w:pPr>
            <w:r>
              <w:rPr>
                <w:rFonts w:hint="eastAsia" w:asciiTheme="minorEastAsia" w:hAnsiTheme="minorEastAsia" w:eastAsiaTheme="minorEastAsia"/>
                <w:kern w:val="0"/>
                <w:lang w:val="en-US" w:eastAsia="zh-CN"/>
              </w:rPr>
              <w:t>1项</w:t>
            </w:r>
          </w:p>
        </w:tc>
        <w:tc>
          <w:tcPr>
            <w:tcW w:w="1880" w:type="dxa"/>
            <w:tcBorders>
              <w:left w:val="single" w:color="auto" w:sz="4" w:space="0"/>
              <w:right w:val="single" w:color="auto" w:sz="4" w:space="0"/>
            </w:tcBorders>
            <w:vAlign w:val="center"/>
          </w:tcPr>
          <w:p>
            <w:pPr>
              <w:pStyle w:val="22"/>
              <w:adjustRightInd w:val="0"/>
              <w:snapToGrid w:val="0"/>
              <w:spacing w:line="360" w:lineRule="auto"/>
              <w:jc w:val="center"/>
              <w:rPr>
                <w:rFonts w:hint="default" w:asciiTheme="minorEastAsia" w:hAnsiTheme="minorEastAsia" w:eastAsiaTheme="minorEastAsia"/>
                <w:kern w:val="0"/>
                <w:lang w:val="en-US"/>
              </w:rPr>
            </w:pPr>
            <w:r>
              <w:rPr>
                <w:rFonts w:hint="eastAsia" w:asciiTheme="minorEastAsia" w:hAnsiTheme="minorEastAsia" w:eastAsiaTheme="minorEastAsia"/>
                <w:kern w:val="0"/>
                <w:lang w:val="en-US" w:eastAsia="zh-CN"/>
              </w:rPr>
              <w:t>约1700万元/年</w:t>
            </w:r>
          </w:p>
        </w:tc>
        <w:tc>
          <w:tcPr>
            <w:tcW w:w="2394" w:type="dxa"/>
            <w:tcBorders>
              <w:left w:val="single" w:color="auto" w:sz="4" w:space="0"/>
            </w:tcBorders>
          </w:tcPr>
          <w:p>
            <w:pPr>
              <w:pStyle w:val="22"/>
              <w:adjustRightInd w:val="0"/>
              <w:snapToGrid w:val="0"/>
              <w:spacing w:line="360" w:lineRule="auto"/>
              <w:rPr>
                <w:rFonts w:asciiTheme="minorEastAsia" w:hAnsiTheme="minorEastAsia" w:eastAsiaTheme="minorEastAsia"/>
                <w:kern w:val="0"/>
              </w:rPr>
            </w:pPr>
            <w:r>
              <w:rPr>
                <w:rFonts w:hint="eastAsia" w:asciiTheme="minorEastAsia" w:hAnsiTheme="minorEastAsia" w:eastAsiaTheme="minorEastAsia"/>
                <w:kern w:val="0"/>
                <w:lang w:val="en-US" w:eastAsia="zh-CN"/>
              </w:rPr>
              <w:t>市场价格（零陵区步步高、卜蜂莲花、建都超市挂牌价的平均价）的100%</w:t>
            </w:r>
          </w:p>
        </w:tc>
      </w:tr>
    </w:tbl>
    <w:p>
      <w:pPr>
        <w:adjustRightInd w:val="0"/>
        <w:snapToGrid w:val="0"/>
        <w:spacing w:line="360" w:lineRule="auto"/>
        <w:ind w:firstLine="420" w:firstLineChars="200"/>
        <w:rPr>
          <w:rFonts w:hint="default" w:asciiTheme="minorEastAsia" w:hAnsiTheme="minorEastAsia" w:eastAsiaTheme="minorEastAsia"/>
          <w:i/>
          <w:szCs w:val="21"/>
          <w:lang w:val="en-US" w:eastAsia="zh-CN"/>
        </w:rPr>
      </w:pPr>
      <w:r>
        <w:rPr>
          <w:rFonts w:hint="eastAsia" w:asciiTheme="minorEastAsia" w:hAnsiTheme="minorEastAsia" w:eastAsiaTheme="minorEastAsia"/>
          <w:szCs w:val="21"/>
        </w:rPr>
        <w:t>1、</w:t>
      </w:r>
      <w:r>
        <w:rPr>
          <w:rFonts w:hint="eastAsia" w:asciiTheme="minorEastAsia" w:hAnsiTheme="minorEastAsia" w:eastAsiaTheme="minorEastAsia"/>
          <w:b/>
          <w:szCs w:val="21"/>
        </w:rPr>
        <w:t>采购项目需要落实的采购政策</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详见招标文件</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b/>
          <w:szCs w:val="21"/>
        </w:rPr>
        <w:t>采购进口产品</w:t>
      </w:r>
      <w:r>
        <w:rPr>
          <w:rFonts w:hint="eastAsia" w:asciiTheme="minorEastAsia" w:hAnsiTheme="minorEastAsia" w:eastAsiaTheme="minorEastAsia"/>
          <w:szCs w:val="21"/>
        </w:rPr>
        <w:t>：</w:t>
      </w:r>
      <w:r>
        <w:rPr>
          <w:rFonts w:hint="eastAsia" w:asciiTheme="minorEastAsia" w:hAnsiTheme="minorEastAsia"/>
          <w:szCs w:val="21"/>
        </w:rPr>
        <w:t>本采购项目</w:t>
      </w:r>
      <w:r>
        <w:rPr>
          <w:rFonts w:hint="eastAsia" w:asciiTheme="minorEastAsia" w:hAnsiTheme="minorEastAsia"/>
          <w:szCs w:val="21"/>
          <w:u w:val="single"/>
        </w:rPr>
        <w:t xml:space="preserve"> </w:t>
      </w:r>
      <w:r>
        <w:rPr>
          <w:rFonts w:hint="eastAsia" w:asciiTheme="minorEastAsia" w:hAnsiTheme="minorEastAsia"/>
          <w:szCs w:val="21"/>
          <w:u w:val="single"/>
          <w:lang w:val="en-US" w:eastAsia="zh-CN"/>
        </w:rPr>
        <w:t>拒绝</w:t>
      </w:r>
      <w:r>
        <w:rPr>
          <w:rFonts w:hint="eastAsia" w:asciiTheme="minorEastAsia" w:hAnsiTheme="minorEastAsia"/>
          <w:szCs w:val="21"/>
          <w:u w:val="single"/>
        </w:rPr>
        <w:t xml:space="preserve"> </w:t>
      </w:r>
      <w:r>
        <w:rPr>
          <w:rFonts w:hint="eastAsia" w:asciiTheme="minorEastAsia" w:hAnsiTheme="minorEastAsia"/>
          <w:szCs w:val="21"/>
        </w:rPr>
        <w:t>（接受或拒绝）进口产品投标。</w:t>
      </w:r>
    </w:p>
    <w:p>
      <w:pPr>
        <w:adjustRightInd w:val="0"/>
        <w:snapToGrid w:val="0"/>
        <w:spacing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三、投标人的资格要求</w:t>
      </w:r>
      <w:r>
        <w:rPr>
          <w:rFonts w:hint="eastAsia" w:asciiTheme="minorEastAsia" w:hAnsiTheme="minorEastAsia" w:eastAsiaTheme="minorEastAsia"/>
          <w:szCs w:val="21"/>
        </w:rPr>
        <w:t>：</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1、投标人的基本资格条件：投标人必须是在中华人民共和国境内注册登记的法人、其他组织或者自然人，且应当符合《政府采购法》第二十二条第一款的规定，即：</w:t>
      </w:r>
      <w:r>
        <w:rPr>
          <w:rFonts w:asciiTheme="minorEastAsia" w:hAnsiTheme="minorEastAsia" w:eastAsiaTheme="minorEastAsia"/>
          <w:szCs w:val="21"/>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（1）具有独立承担民事责任的能力；</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（2）具有良好的商业信誉和健全的财务会计制度；</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（3）具有履行合同所必需的设备和专业技术能力；</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（4）有依法缴纳税收和社会保障资金的良好记录；</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（5）参加采购活动前三年内，在经营活动中没有重大违法记录；</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（6）法律、行政法规规定的其他条件。</w:t>
      </w:r>
    </w:p>
    <w:p>
      <w:pPr>
        <w:adjustRightInd w:val="0"/>
        <w:snapToGrid w:val="0"/>
        <w:spacing w:line="360" w:lineRule="auto"/>
        <w:ind w:firstLine="420" w:firstLineChars="200"/>
        <w:rPr>
          <w:rFonts w:hint="eastAsia" w:asciiTheme="minorEastAsia" w:hAnsiTheme="minorEastAsia" w:eastAsiaTheme="minorEastAsia"/>
          <w:szCs w:val="21"/>
          <w:u w:val="single"/>
          <w:lang w:val="en-US" w:eastAsia="zh-CN"/>
        </w:rPr>
      </w:pPr>
      <w:r>
        <w:rPr>
          <w:rFonts w:hint="eastAsia" w:asciiTheme="minorEastAsia" w:hAnsiTheme="minorEastAsia" w:eastAsiaTheme="minorEastAsia"/>
          <w:szCs w:val="21"/>
        </w:rPr>
        <w:t>2、采购项目的特定资格条件：</w:t>
      </w:r>
      <w:r>
        <w:rPr>
          <w:rFonts w:hint="eastAsia" w:asciiTheme="minorEastAsia" w:hAnsiTheme="minorEastAsia" w:eastAsiaTheme="minorEastAsia"/>
          <w:szCs w:val="21"/>
          <w:u w:val="single"/>
          <w:lang w:eastAsia="zh-CN"/>
        </w:rPr>
        <w:t>（</w:t>
      </w:r>
      <w:r>
        <w:rPr>
          <w:rFonts w:hint="eastAsia" w:asciiTheme="minorEastAsia" w:hAnsiTheme="minorEastAsia" w:eastAsiaTheme="minorEastAsia"/>
          <w:szCs w:val="21"/>
          <w:u w:val="none"/>
          <w:lang w:val="en-US" w:eastAsia="zh-CN"/>
        </w:rPr>
        <w:t>1）具有独立的法人资格，从事餐饮配送的企业，且经营许可范围与本采购项目内容相符；</w:t>
      </w:r>
    </w:p>
    <w:p>
      <w:pPr>
        <w:adjustRightInd w:val="0"/>
        <w:snapToGrid w:val="0"/>
        <w:spacing w:line="360" w:lineRule="auto"/>
        <w:ind w:firstLine="420" w:firstLineChars="200"/>
        <w:rPr>
          <w:rFonts w:asciiTheme="minorEastAsia" w:hAnsiTheme="minorEastAsia" w:eastAsiaTheme="minorEastAsia"/>
          <w:szCs w:val="21"/>
          <w:u w:val="none"/>
        </w:rPr>
      </w:pPr>
      <w:r>
        <w:rPr>
          <w:rFonts w:hint="eastAsia" w:asciiTheme="minorEastAsia" w:hAnsiTheme="minorEastAsia" w:eastAsiaTheme="minorEastAsia"/>
          <w:szCs w:val="21"/>
          <w:u w:val="none"/>
          <w:lang w:val="en-US" w:eastAsia="zh-CN"/>
        </w:rPr>
        <w:t>（2）</w:t>
      </w:r>
      <w:r>
        <w:rPr>
          <w:rFonts w:hint="eastAsia" w:asciiTheme="minorEastAsia" w:hAnsiTheme="minorEastAsia" w:eastAsiaTheme="minorEastAsia"/>
          <w:szCs w:val="21"/>
          <w:u w:val="none"/>
        </w:rPr>
        <w:t>投标人须具有《食品流通许可证》或《食品经营许可证》。</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3、单位负责人为同一人或者存在直接控股、管理关系的不同投标人，不得参加同一合同项下的采购活动。</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4、为本采购项目提供整体设计、规范编制或者项目管理、监理、检测等服务的，不得再参加此项目的其他招标采购活动。</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5、列入失信被执行人、重大税收违法案件当事人名单，列入政府采购严重违法失信行为记录名单的，拒绝其参与采购活动。</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6、联合体投标。本次招标</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不接受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(接受或不接受)联合体投标。接受联合体投标的，联合体应当具备下列条件：</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pPr>
        <w:adjustRightInd w:val="0"/>
        <w:snapToGrid w:val="0"/>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四、获取招标文件的时间、期限、地点、方式及招标文件售价</w:t>
      </w:r>
    </w:p>
    <w:p>
      <w:pPr>
        <w:tabs>
          <w:tab w:val="left" w:pos="3500"/>
        </w:tabs>
        <w:autoSpaceDE w:val="0"/>
        <w:autoSpaceDN w:val="0"/>
        <w:adjustRightInd w:val="0"/>
        <w:snapToGrid w:val="0"/>
        <w:spacing w:line="360" w:lineRule="auto"/>
        <w:ind w:firstLine="420" w:firstLineChars="200"/>
        <w:jc w:val="left"/>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 xml:space="preserve">  1、有意参加投标者在递交投标文件截止之日前，在湖南科技学院（https://www.huse.edu.cn/cggg）进行网上下载招标文件。通过网络下载，其招标文件与备案的书面招标文件具有同等法律效力。</w:t>
      </w:r>
    </w:p>
    <w:p>
      <w:pPr>
        <w:tabs>
          <w:tab w:val="left" w:pos="3500"/>
        </w:tabs>
        <w:autoSpaceDE w:val="0"/>
        <w:autoSpaceDN w:val="0"/>
        <w:adjustRightInd w:val="0"/>
        <w:snapToGrid w:val="0"/>
        <w:spacing w:line="360" w:lineRule="auto"/>
        <w:ind w:firstLine="420" w:firstLineChars="200"/>
        <w:jc w:val="left"/>
        <w:rPr>
          <w:rFonts w:cs="微软雅黑"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 xml:space="preserve"> </w:t>
      </w:r>
      <w:r>
        <w:rPr>
          <w:rFonts w:asciiTheme="minorEastAsia" w:hAnsiTheme="minorEastAsia" w:eastAsiaTheme="minorEastAsia"/>
          <w:kern w:val="0"/>
          <w:position w:val="-3"/>
          <w:szCs w:val="21"/>
        </w:rPr>
        <w:t>2</w:t>
      </w:r>
      <w:r>
        <w:rPr>
          <w:rFonts w:hint="eastAsia" w:asciiTheme="minorEastAsia" w:hAnsiTheme="minorEastAsia" w:eastAsiaTheme="minorEastAsia"/>
          <w:kern w:val="0"/>
          <w:position w:val="-3"/>
          <w:szCs w:val="21"/>
        </w:rPr>
        <w:t>、</w:t>
      </w:r>
      <w:r>
        <w:rPr>
          <w:rFonts w:hint="eastAsia" w:cs="微软雅黑" w:asciiTheme="minorEastAsia" w:hAnsiTheme="minorEastAsia" w:eastAsiaTheme="minorEastAsia"/>
          <w:spacing w:val="-2"/>
          <w:kern w:val="0"/>
          <w:position w:val="-3"/>
          <w:szCs w:val="21"/>
        </w:rPr>
        <w:t>招</w:t>
      </w:r>
      <w:r>
        <w:rPr>
          <w:rFonts w:hint="eastAsia" w:cs="微软雅黑" w:asciiTheme="minorEastAsia" w:hAnsiTheme="minorEastAsia" w:eastAsiaTheme="minorEastAsia"/>
          <w:kern w:val="0"/>
          <w:position w:val="-3"/>
          <w:szCs w:val="21"/>
        </w:rPr>
        <w:t>标</w:t>
      </w:r>
      <w:r>
        <w:rPr>
          <w:rFonts w:hint="eastAsia" w:cs="微软雅黑" w:asciiTheme="minorEastAsia" w:hAnsiTheme="minorEastAsia" w:eastAsiaTheme="minorEastAsia"/>
          <w:spacing w:val="-2"/>
          <w:kern w:val="0"/>
          <w:position w:val="-3"/>
          <w:szCs w:val="21"/>
        </w:rPr>
        <w:t>文</w:t>
      </w:r>
      <w:r>
        <w:rPr>
          <w:rFonts w:hint="eastAsia" w:cs="微软雅黑" w:asciiTheme="minorEastAsia" w:hAnsiTheme="minorEastAsia" w:eastAsiaTheme="minorEastAsia"/>
          <w:kern w:val="0"/>
          <w:position w:val="-3"/>
          <w:szCs w:val="21"/>
        </w:rPr>
        <w:t>件</w:t>
      </w:r>
      <w:r>
        <w:rPr>
          <w:rFonts w:hint="eastAsia" w:cs="微软雅黑" w:asciiTheme="minorEastAsia" w:hAnsiTheme="minorEastAsia" w:eastAsiaTheme="minorEastAsia"/>
          <w:spacing w:val="-2"/>
          <w:kern w:val="0"/>
          <w:position w:val="-3"/>
          <w:szCs w:val="21"/>
        </w:rPr>
        <w:t>每</w:t>
      </w:r>
      <w:r>
        <w:rPr>
          <w:rFonts w:hint="eastAsia" w:cs="微软雅黑" w:asciiTheme="minorEastAsia" w:hAnsiTheme="minorEastAsia" w:eastAsiaTheme="minorEastAsia"/>
          <w:kern w:val="0"/>
          <w:position w:val="-3"/>
          <w:szCs w:val="21"/>
        </w:rPr>
        <w:t>套</w:t>
      </w:r>
      <w:r>
        <w:rPr>
          <w:rFonts w:hint="eastAsia" w:cs="微软雅黑" w:asciiTheme="minorEastAsia" w:hAnsiTheme="minorEastAsia" w:eastAsiaTheme="minorEastAsia"/>
          <w:spacing w:val="-2"/>
          <w:kern w:val="0"/>
          <w:position w:val="-3"/>
          <w:szCs w:val="21"/>
        </w:rPr>
        <w:t>售</w:t>
      </w:r>
      <w:r>
        <w:rPr>
          <w:rFonts w:hint="eastAsia" w:cs="微软雅黑" w:asciiTheme="minorEastAsia" w:hAnsiTheme="minorEastAsia" w:eastAsiaTheme="minorEastAsia"/>
          <w:kern w:val="0"/>
          <w:position w:val="-3"/>
          <w:szCs w:val="21"/>
        </w:rPr>
        <w:t>价</w:t>
      </w:r>
      <w:r>
        <w:rPr>
          <w:rFonts w:cs="微软雅黑" w:asciiTheme="minorEastAsia" w:hAnsiTheme="minorEastAsia" w:eastAsiaTheme="minorEastAsia"/>
          <w:spacing w:val="43"/>
          <w:kern w:val="0"/>
          <w:position w:val="-3"/>
          <w:szCs w:val="21"/>
          <w:u w:val="single"/>
        </w:rPr>
        <w:t xml:space="preserve"> </w:t>
      </w:r>
      <w:r>
        <w:rPr>
          <w:rFonts w:hint="eastAsia" w:cs="微软雅黑" w:asciiTheme="minorEastAsia" w:hAnsiTheme="minorEastAsia" w:eastAsiaTheme="minorEastAsia"/>
          <w:spacing w:val="43"/>
          <w:kern w:val="0"/>
          <w:position w:val="-3"/>
          <w:szCs w:val="21"/>
          <w:u w:val="single"/>
          <w:lang w:val="en-US" w:eastAsia="zh-CN"/>
        </w:rPr>
        <w:t>400</w:t>
      </w:r>
      <w:r>
        <w:rPr>
          <w:rFonts w:hint="eastAsia" w:cs="微软雅黑" w:asciiTheme="minorEastAsia" w:hAnsiTheme="minorEastAsia" w:eastAsiaTheme="minorEastAsia"/>
          <w:kern w:val="0"/>
          <w:position w:val="-3"/>
          <w:szCs w:val="21"/>
          <w:u w:val="single"/>
        </w:rPr>
        <w:t xml:space="preserve"> </w:t>
      </w:r>
      <w:r>
        <w:rPr>
          <w:rFonts w:hint="eastAsia" w:cs="微软雅黑" w:asciiTheme="minorEastAsia" w:hAnsiTheme="minorEastAsia" w:eastAsiaTheme="minorEastAsia"/>
          <w:kern w:val="0"/>
          <w:position w:val="-3"/>
          <w:szCs w:val="21"/>
        </w:rPr>
        <w:t>元</w:t>
      </w:r>
      <w:r>
        <w:rPr>
          <w:rFonts w:hint="eastAsia" w:cs="微软雅黑" w:asciiTheme="minorEastAsia" w:hAnsiTheme="minorEastAsia" w:eastAsiaTheme="minorEastAsia"/>
          <w:spacing w:val="-2"/>
          <w:kern w:val="0"/>
          <w:position w:val="-3"/>
          <w:szCs w:val="21"/>
        </w:rPr>
        <w:t>，</w:t>
      </w:r>
      <w:r>
        <w:rPr>
          <w:rFonts w:hint="eastAsia" w:cs="微软雅黑" w:asciiTheme="minorEastAsia" w:hAnsiTheme="minorEastAsia" w:eastAsiaTheme="minorEastAsia"/>
          <w:kern w:val="0"/>
          <w:position w:val="-3"/>
          <w:szCs w:val="21"/>
          <w:lang w:val="en-US" w:eastAsia="zh-CN"/>
        </w:rPr>
        <w:t>在递交投标文件时缴纳</w:t>
      </w:r>
      <w:r>
        <w:rPr>
          <w:rFonts w:hint="eastAsia" w:cs="微软雅黑" w:asciiTheme="minorEastAsia" w:hAnsiTheme="minorEastAsia" w:eastAsiaTheme="minorEastAsia"/>
          <w:kern w:val="0"/>
          <w:position w:val="-3"/>
          <w:szCs w:val="21"/>
        </w:rPr>
        <w:t>。</w:t>
      </w:r>
    </w:p>
    <w:p>
      <w:pPr>
        <w:adjustRightInd w:val="0"/>
        <w:snapToGrid w:val="0"/>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五、投标截止时间、开标时间及地点</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1、提交投标文件的截止时间：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2022</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1</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26</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09</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时</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30</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分（北京时间）</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2、投标地点：</w:t>
      </w:r>
      <w:r>
        <w:rPr>
          <w:rFonts w:hint="eastAsia" w:ascii="宋体" w:hAnsi="宋体" w:cs="宋体"/>
          <w:u w:val="single"/>
        </w:rPr>
        <w:t xml:space="preserve"> 天鉴国际工程管理有限公司6楼指定开标大厅（湖南省长沙市雨花区金海路128号天鉴集团6楼）</w:t>
      </w:r>
      <w:r>
        <w:rPr>
          <w:rFonts w:hint="eastAsia" w:ascii="宋体" w:hAnsi="宋体" w:cs="宋体"/>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3、开标时间：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2022</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1</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26</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09</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时</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30</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分（北京时间）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4、开标地点：</w:t>
      </w:r>
      <w:r>
        <w:rPr>
          <w:rFonts w:hint="eastAsia" w:ascii="宋体" w:hAnsi="宋体" w:cs="宋体"/>
          <w:u w:val="single"/>
        </w:rPr>
        <w:t xml:space="preserve"> 天鉴国际工程管理有限公司6楼指定开标大厅（湖南省长沙市雨花区金海路128号天鉴集团6楼）   </w:t>
      </w:r>
      <w:r>
        <w:rPr>
          <w:rFonts w:hint="eastAsia" w:ascii="宋体" w:hAnsi="宋体" w:cs="宋体"/>
        </w:rPr>
        <w:t>。</w:t>
      </w:r>
    </w:p>
    <w:p>
      <w:pPr>
        <w:adjustRightInd w:val="0"/>
        <w:snapToGrid w:val="0"/>
        <w:spacing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六、公告期限</w:t>
      </w:r>
      <w:r>
        <w:rPr>
          <w:rFonts w:hint="eastAsia" w:asciiTheme="minorEastAsia" w:hAnsiTheme="minorEastAsia" w:eastAsiaTheme="minorEastAsia"/>
          <w:szCs w:val="21"/>
        </w:rPr>
        <w:t>：</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1、本招标公告在</w:t>
      </w:r>
      <w:r>
        <w:rPr>
          <w:rFonts w:hint="eastAsia" w:asciiTheme="minorEastAsia" w:hAnsiTheme="minorEastAsia" w:eastAsiaTheme="minorEastAsia"/>
          <w:szCs w:val="21"/>
          <w:u w:val="single"/>
          <w:lang w:val="en-US" w:eastAsia="zh-CN"/>
        </w:rPr>
        <w:t xml:space="preserve">  湖南科技学院网 </w:t>
      </w:r>
      <w:r>
        <w:rPr>
          <w:rFonts w:hint="eastAsia" w:asciiTheme="minorEastAsia" w:hAnsiTheme="minorEastAsia" w:eastAsiaTheme="minorEastAsia"/>
          <w:szCs w:val="21"/>
          <w:u w:val="none"/>
          <w:lang w:val="en-US" w:eastAsia="zh-CN"/>
        </w:rPr>
        <w:t>上</w:t>
      </w:r>
      <w:r>
        <w:rPr>
          <w:rFonts w:hint="eastAsia" w:asciiTheme="minorEastAsia" w:hAnsiTheme="minorEastAsia" w:eastAsiaTheme="minorEastAsia"/>
          <w:szCs w:val="21"/>
        </w:rPr>
        <w:t>发布。公告期限从本招标公告发布之日起5个工作日。</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2、在其他媒体发布的招标公告，公告内容以本招标公告指定媒体发布的公告为准；公告期限自本招标公告指定媒体最先发布公告之日起算。</w:t>
      </w:r>
    </w:p>
    <w:p>
      <w:pPr>
        <w:adjustRightInd w:val="0"/>
        <w:snapToGrid w:val="0"/>
        <w:spacing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七、疑问及质疑</w:t>
      </w:r>
      <w:r>
        <w:rPr>
          <w:rFonts w:hint="eastAsia" w:asciiTheme="minorEastAsia" w:hAnsiTheme="minorEastAsia" w:eastAsiaTheme="minorEastAsia"/>
          <w:szCs w:val="21"/>
        </w:rPr>
        <w:t>：</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1、投标人对采购活动事项如有疑问的，可以向采购人、采购代理机构提出询问。采购人、采购代理机构将在3个工作日内作出答复。</w:t>
      </w:r>
    </w:p>
    <w:p>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潜在投标人认为招标文件或招标公告使自己的合法权益受到损害的，应在2022年1月20日17时之前按《湖南省财政厅关于印发＜政府采购质疑答复和投诉处理操作规程＞的通知》(湘财购〔2019〕20号)规定，以书面形式向采购人、采购代理机构提出质疑。</w:t>
      </w:r>
    </w:p>
    <w:p>
      <w:pPr>
        <w:adjustRightInd w:val="0"/>
        <w:snapToGrid w:val="0"/>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八、采购项目联系人姓名和电话</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1、联系人姓名：</w:t>
      </w:r>
      <w:r>
        <w:rPr>
          <w:rFonts w:hint="eastAsia" w:asciiTheme="minorEastAsia" w:hAnsiTheme="minorEastAsia"/>
          <w:szCs w:val="21"/>
          <w:u w:val="single"/>
        </w:rPr>
        <w:t xml:space="preserve"> </w:t>
      </w:r>
      <w:r>
        <w:rPr>
          <w:rFonts w:hint="eastAsia" w:asciiTheme="minorEastAsia" w:hAnsiTheme="minorEastAsia"/>
          <w:szCs w:val="21"/>
          <w:u w:val="single"/>
          <w:lang w:val="en-US" w:eastAsia="zh-CN"/>
        </w:rPr>
        <w:t>唐勇</w:t>
      </w:r>
      <w:r>
        <w:rPr>
          <w:rFonts w:hint="eastAsia" w:asciiTheme="minorEastAsia" w:hAnsi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2、电话：</w:t>
      </w:r>
      <w:r>
        <w:rPr>
          <w:rFonts w:hint="eastAsia" w:asciiTheme="minorEastAsia" w:hAnsiTheme="minorEastAsia"/>
          <w:szCs w:val="21"/>
          <w:u w:val="single"/>
        </w:rPr>
        <w:t xml:space="preserve"> </w:t>
      </w:r>
      <w:r>
        <w:rPr>
          <w:rFonts w:hint="eastAsia" w:asciiTheme="minorEastAsia" w:hAnsiTheme="minorEastAsia"/>
          <w:szCs w:val="21"/>
          <w:u w:val="single"/>
          <w:lang w:val="en-US" w:eastAsia="zh-CN"/>
        </w:rPr>
        <w:t>13187101991</w:t>
      </w:r>
      <w:r>
        <w:rPr>
          <w:rFonts w:hint="eastAsia" w:asciiTheme="minorEastAsia" w:hAnsiTheme="minorEastAsia"/>
          <w:szCs w:val="21"/>
          <w:u w:val="single"/>
        </w:rPr>
        <w:t xml:space="preserve"> </w:t>
      </w:r>
    </w:p>
    <w:p>
      <w:pPr>
        <w:adjustRightInd w:val="0"/>
        <w:snapToGrid w:val="0"/>
        <w:spacing w:line="360" w:lineRule="auto"/>
        <w:ind w:firstLine="413" w:firstLineChars="196"/>
        <w:rPr>
          <w:rFonts w:asciiTheme="minorEastAsia" w:hAnsiTheme="minorEastAsia" w:eastAsiaTheme="minorEastAsia"/>
          <w:b/>
          <w:bCs/>
          <w:szCs w:val="21"/>
        </w:rPr>
      </w:pPr>
      <w:r>
        <w:rPr>
          <w:rFonts w:hint="eastAsia" w:asciiTheme="minorEastAsia" w:hAnsiTheme="minorEastAsia" w:eastAsiaTheme="minorEastAsia"/>
          <w:b/>
          <w:bCs/>
          <w:szCs w:val="21"/>
        </w:rPr>
        <w:t>九、采购人、采购代理机构的名称、地址和联系方法</w:t>
      </w:r>
    </w:p>
    <w:p>
      <w:pPr>
        <w:adjustRightInd w:val="0"/>
        <w:snapToGrid w:val="0"/>
        <w:spacing w:line="360" w:lineRule="auto"/>
        <w:ind w:firstLine="413" w:firstLineChars="196"/>
        <w:rPr>
          <w:rFonts w:asciiTheme="minorEastAsia" w:hAnsiTheme="minorEastAsia" w:eastAsiaTheme="minorEastAsia"/>
          <w:b/>
          <w:bCs/>
          <w:szCs w:val="21"/>
        </w:rPr>
      </w:pPr>
      <w:r>
        <w:rPr>
          <w:rFonts w:hint="eastAsia" w:asciiTheme="minorEastAsia" w:hAnsiTheme="minorEastAsia" w:eastAsiaTheme="minorEastAsia"/>
          <w:b/>
          <w:bCs/>
          <w:szCs w:val="21"/>
        </w:rPr>
        <w:t>1</w:t>
      </w:r>
      <w:r>
        <w:rPr>
          <w:rFonts w:hint="eastAsia" w:asciiTheme="minorEastAsia" w:hAnsiTheme="minorEastAsia" w:eastAsiaTheme="minorEastAsia"/>
          <w:szCs w:val="21"/>
        </w:rPr>
        <w:t>、</w:t>
      </w:r>
      <w:r>
        <w:rPr>
          <w:rFonts w:hint="eastAsia" w:asciiTheme="minorEastAsia" w:hAnsiTheme="minorEastAsia" w:eastAsiaTheme="minorEastAsia"/>
          <w:b/>
          <w:bCs/>
          <w:szCs w:val="21"/>
        </w:rPr>
        <w:t>采购人信息</w:t>
      </w:r>
    </w:p>
    <w:p>
      <w:pPr>
        <w:adjustRightInd w:val="0"/>
        <w:snapToGrid w:val="0"/>
        <w:spacing w:line="360" w:lineRule="auto"/>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b/>
          <w:bCs/>
          <w:szCs w:val="21"/>
        </w:rPr>
        <w:t>名 称：</w:t>
      </w:r>
      <w:r>
        <w:rPr>
          <w:rFonts w:hint="eastAsia" w:asciiTheme="minorEastAsia" w:hAnsiTheme="minorEastAsia"/>
          <w:szCs w:val="21"/>
          <w:u w:val="single"/>
        </w:rPr>
        <w:t xml:space="preserve"> </w:t>
      </w:r>
      <w:bookmarkStart w:id="9" w:name="EB2300c044dbd34c8785b5026ee75acf22"/>
      <w:r>
        <w:rPr>
          <w:rFonts w:hint="eastAsia" w:asciiTheme="minorEastAsia" w:hAnsiTheme="minorEastAsia"/>
          <w:szCs w:val="21"/>
          <w:u w:val="single"/>
        </w:rPr>
        <w:t>湖南科技学院</w:t>
      </w:r>
      <w:bookmarkEnd w:id="9"/>
      <w:r>
        <w:rPr>
          <w:rFonts w:hint="eastAsia" w:asciiTheme="minorEastAsia" w:hAnsi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（2）地  址：</w:t>
      </w:r>
      <w:r>
        <w:rPr>
          <w:rFonts w:hint="eastAsia" w:asciiTheme="minorEastAsia" w:hAnsiTheme="minorEastAsia"/>
          <w:szCs w:val="21"/>
          <w:u w:val="single"/>
        </w:rPr>
        <w:t xml:space="preserve"> </w:t>
      </w:r>
      <w:bookmarkStart w:id="10" w:name="EB937aba6d8f5547118fe515bd6ef0de96"/>
      <w:r>
        <w:rPr>
          <w:rFonts w:hint="eastAsia" w:asciiTheme="minorEastAsia" w:hAnsiTheme="minorEastAsia"/>
          <w:szCs w:val="21"/>
          <w:u w:val="single"/>
        </w:rPr>
        <w:t>湖南省永州市零陵区杨梓塘路130号</w:t>
      </w:r>
      <w:bookmarkEnd w:id="10"/>
      <w:r>
        <w:rPr>
          <w:rFonts w:hint="eastAsia" w:asciiTheme="minorEastAsia" w:hAnsi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ind w:firstLine="420" w:firstLineChars="200"/>
        <w:rPr>
          <w:rFonts w:asciiTheme="minorEastAsia" w:hAnsiTheme="minorEastAsia" w:eastAsiaTheme="minorEastAsia"/>
          <w:bCs/>
          <w:szCs w:val="21"/>
        </w:rPr>
      </w:pPr>
      <w:r>
        <w:rPr>
          <w:rFonts w:hint="eastAsia" w:asciiTheme="minorEastAsia" w:hAnsiTheme="minorEastAsia" w:eastAsiaTheme="minorEastAsia"/>
          <w:szCs w:val="21"/>
        </w:rPr>
        <w:t>（3）</w:t>
      </w:r>
      <w:r>
        <w:rPr>
          <w:rFonts w:hint="eastAsia" w:asciiTheme="minorEastAsia" w:hAnsiTheme="minorEastAsia" w:eastAsiaTheme="minorEastAsia"/>
          <w:bCs/>
          <w:szCs w:val="21"/>
        </w:rPr>
        <w:t>联系人：</w:t>
      </w:r>
      <w:r>
        <w:rPr>
          <w:rFonts w:hint="eastAsia" w:asciiTheme="minorEastAsia" w:hAnsiTheme="minorEastAsia"/>
          <w:szCs w:val="21"/>
          <w:u w:val="single"/>
        </w:rPr>
        <w:t xml:space="preserve"> </w:t>
      </w:r>
      <w:bookmarkStart w:id="11" w:name="EBb686f6a5950a426e94cd6546896f86ef"/>
      <w:r>
        <w:rPr>
          <w:rFonts w:hint="eastAsia" w:asciiTheme="minorEastAsia" w:hAnsiTheme="minorEastAsia"/>
          <w:szCs w:val="21"/>
          <w:u w:val="single"/>
        </w:rPr>
        <w:t>陈方</w:t>
      </w:r>
      <w:bookmarkEnd w:id="11"/>
      <w:r>
        <w:rPr>
          <w:rFonts w:hint="eastAsia" w:asciiTheme="minorEastAsia" w:hAnsiTheme="minorEastAsia"/>
          <w:szCs w:val="21"/>
          <w:u w:val="single"/>
        </w:rPr>
        <w:t xml:space="preserve">  </w:t>
      </w:r>
      <w:r>
        <w:rPr>
          <w:rFonts w:hint="eastAsia" w:asciiTheme="minorEastAsia" w:hAnsiTheme="minorEastAsia" w:eastAsiaTheme="minorEastAsia"/>
          <w:bCs/>
          <w:szCs w:val="21"/>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bCs/>
          <w:szCs w:val="21"/>
        </w:rPr>
        <w:t>电话：</w:t>
      </w:r>
      <w:r>
        <w:rPr>
          <w:rFonts w:hint="eastAsia" w:eastAsia="宋体" w:cs="Times New Roman" w:asciiTheme="minorEastAsia" w:hAnsiTheme="minorEastAsia"/>
          <w:szCs w:val="21"/>
          <w:u w:val="single"/>
        </w:rPr>
        <w:t xml:space="preserve"> </w:t>
      </w:r>
      <w:bookmarkStart w:id="12" w:name="EB0f180bad950142739b432fdda8b41206"/>
      <w:r>
        <w:rPr>
          <w:rFonts w:hint="eastAsia" w:eastAsia="宋体" w:cs="Times New Roman" w:asciiTheme="minorEastAsia" w:hAnsiTheme="minorEastAsia"/>
          <w:szCs w:val="21"/>
          <w:u w:val="single"/>
        </w:rPr>
        <w:t>0746-6388315</w:t>
      </w:r>
      <w:bookmarkEnd w:id="12"/>
      <w:r>
        <w:rPr>
          <w:rFonts w:hint="eastAsia" w:eastAsia="宋体" w:cs="Times New Roman" w:asciiTheme="minorEastAsia" w:hAnsiTheme="minorEastAsia"/>
          <w:szCs w:val="21"/>
          <w:u w:val="single"/>
        </w:rPr>
        <w:t xml:space="preserve"> </w:t>
      </w:r>
    </w:p>
    <w:p>
      <w:pPr>
        <w:adjustRightInd w:val="0"/>
        <w:snapToGrid w:val="0"/>
        <w:spacing w:line="360" w:lineRule="auto"/>
        <w:ind w:firstLine="413" w:firstLineChars="196"/>
        <w:rPr>
          <w:rFonts w:asciiTheme="minorEastAsia" w:hAnsiTheme="minorEastAsia" w:eastAsiaTheme="minorEastAsia"/>
          <w:b/>
          <w:bCs/>
          <w:szCs w:val="21"/>
        </w:rPr>
      </w:pPr>
      <w:r>
        <w:rPr>
          <w:rFonts w:hint="eastAsia" w:asciiTheme="minorEastAsia" w:hAnsiTheme="minorEastAsia" w:eastAsiaTheme="minorEastAsia"/>
          <w:b/>
          <w:bCs/>
          <w:szCs w:val="21"/>
        </w:rPr>
        <w:t>2</w:t>
      </w:r>
      <w:r>
        <w:rPr>
          <w:rFonts w:hint="eastAsia" w:asciiTheme="minorEastAsia" w:hAnsiTheme="minorEastAsia" w:eastAsiaTheme="minorEastAsia"/>
          <w:szCs w:val="21"/>
        </w:rPr>
        <w:t>、</w:t>
      </w:r>
      <w:r>
        <w:rPr>
          <w:rFonts w:hint="eastAsia" w:asciiTheme="minorEastAsia" w:hAnsiTheme="minorEastAsia" w:eastAsiaTheme="minorEastAsia"/>
          <w:b/>
          <w:bCs/>
          <w:szCs w:val="21"/>
        </w:rPr>
        <w:t>采购代理机构信息</w:t>
      </w:r>
    </w:p>
    <w:p>
      <w:pPr>
        <w:adjustRightInd w:val="0"/>
        <w:snapToGrid w:val="0"/>
        <w:spacing w:line="360" w:lineRule="auto"/>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名  称：</w:t>
      </w:r>
      <w:r>
        <w:rPr>
          <w:rFonts w:hint="eastAsia" w:asciiTheme="minorEastAsia" w:hAnsiTheme="minorEastAsia"/>
          <w:szCs w:val="21"/>
          <w:u w:val="single"/>
        </w:rPr>
        <w:t xml:space="preserve"> </w:t>
      </w:r>
      <w:bookmarkStart w:id="13" w:name="EBc0c11ba7eb1245d29a61ca747014f860"/>
      <w:r>
        <w:rPr>
          <w:rFonts w:hint="eastAsia" w:asciiTheme="minorEastAsia" w:hAnsiTheme="minorEastAsia"/>
          <w:szCs w:val="21"/>
          <w:u w:val="single"/>
        </w:rPr>
        <w:t>天鉴国际工程管理有限公司</w:t>
      </w:r>
      <w:bookmarkEnd w:id="13"/>
      <w:r>
        <w:rPr>
          <w:rFonts w:hint="eastAsia" w:asciiTheme="minorEastAsia" w:hAnsiTheme="minorEastAsia"/>
          <w:szCs w:val="21"/>
          <w:u w:val="single"/>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（2）地  址：</w:t>
      </w:r>
      <w:r>
        <w:rPr>
          <w:rFonts w:hint="eastAsia" w:asciiTheme="minorEastAsia" w:hAnsiTheme="minorEastAsia"/>
          <w:szCs w:val="21"/>
          <w:u w:val="single"/>
        </w:rPr>
        <w:t xml:space="preserve"> </w:t>
      </w:r>
      <w:bookmarkStart w:id="14" w:name="EBd9953af71f7d4a0d99b782268d98d424"/>
      <w:r>
        <w:rPr>
          <w:rFonts w:hint="eastAsia" w:asciiTheme="minorEastAsia" w:hAnsiTheme="minorEastAsia"/>
          <w:szCs w:val="21"/>
          <w:u w:val="single"/>
        </w:rPr>
        <w:t>永州市冷水滩区育才路海关大楼内侧门二楼</w:t>
      </w:r>
      <w:bookmarkEnd w:id="14"/>
      <w:r>
        <w:rPr>
          <w:rFonts w:hint="eastAsia" w:asciiTheme="minorEastAsia" w:hAnsiTheme="minorEastAsia"/>
          <w:szCs w:val="21"/>
          <w:u w:val="single"/>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（3）联系人：</w:t>
      </w:r>
      <w:r>
        <w:rPr>
          <w:rFonts w:hint="eastAsia" w:asciiTheme="minorEastAsia" w:hAnsiTheme="minorEastAsia"/>
          <w:szCs w:val="21"/>
          <w:u w:val="single"/>
        </w:rPr>
        <w:t xml:space="preserve"> </w:t>
      </w:r>
      <w:bookmarkStart w:id="15" w:name="EB2730874370684f7ab504c87c95595f41"/>
      <w:r>
        <w:rPr>
          <w:rFonts w:hint="eastAsia" w:asciiTheme="minorEastAsia" w:hAnsiTheme="minorEastAsia"/>
          <w:szCs w:val="21"/>
          <w:u w:val="single"/>
        </w:rPr>
        <w:t>唐勇</w:t>
      </w:r>
      <w:bookmarkEnd w:id="15"/>
      <w:r>
        <w:rPr>
          <w:rFonts w:hint="eastAsia" w:asciiTheme="minorEastAsia" w:hAnsi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（4）邮  编：</w:t>
      </w:r>
      <w:r>
        <w:rPr>
          <w:rFonts w:hint="eastAsia" w:asciiTheme="minorEastAsia" w:hAnsiTheme="minorEastAsia"/>
          <w:szCs w:val="21"/>
          <w:u w:val="single"/>
        </w:rPr>
        <w:t xml:space="preserve"> </w:t>
      </w:r>
      <w:bookmarkStart w:id="16" w:name="EB0209ae5c976b4031a62a7b5a8132f8e8"/>
      <w:r>
        <w:rPr>
          <w:rFonts w:hint="eastAsia" w:asciiTheme="minorEastAsia" w:hAnsiTheme="minorEastAsia"/>
          <w:szCs w:val="21"/>
          <w:u w:val="single"/>
        </w:rPr>
        <w:t>425000</w:t>
      </w:r>
      <w:bookmarkEnd w:id="16"/>
      <w:r>
        <w:rPr>
          <w:rFonts w:hint="eastAsia" w:asciiTheme="minorEastAsia" w:hAnsiTheme="minorEastAsia"/>
          <w:szCs w:val="21"/>
          <w:u w:val="single"/>
        </w:rPr>
        <w:t xml:space="preserve">  </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（5）电  话：</w:t>
      </w:r>
      <w:r>
        <w:rPr>
          <w:rFonts w:hint="eastAsia" w:asciiTheme="minorEastAsia" w:hAnsiTheme="minorEastAsia"/>
          <w:szCs w:val="21"/>
          <w:u w:val="single"/>
        </w:rPr>
        <w:t xml:space="preserve"> </w:t>
      </w:r>
      <w:bookmarkStart w:id="17" w:name="EB07ada23c4f7a4a42bbbaa4989a13ea48"/>
      <w:r>
        <w:rPr>
          <w:rFonts w:hint="eastAsia" w:asciiTheme="minorEastAsia" w:hAnsiTheme="minorEastAsia"/>
          <w:szCs w:val="21"/>
          <w:u w:val="single"/>
        </w:rPr>
        <w:t>13187101991</w:t>
      </w:r>
      <w:bookmarkEnd w:id="17"/>
      <w:r>
        <w:rPr>
          <w:rFonts w:hint="eastAsia" w:asciiTheme="minorEastAsia" w:hAnsi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ind w:firstLine="420" w:firstLineChars="200"/>
        <w:rPr>
          <w:szCs w:val="21"/>
        </w:rPr>
      </w:pPr>
      <w:r>
        <w:rPr>
          <w:rFonts w:hint="eastAsia" w:asciiTheme="minorEastAsia" w:hAnsiTheme="minorEastAsia" w:eastAsiaTheme="minorEastAsia"/>
          <w:szCs w:val="21"/>
        </w:rPr>
        <w:t>（6）</w:t>
      </w:r>
      <w:r>
        <w:rPr>
          <w:rFonts w:hint="eastAsia"/>
          <w:szCs w:val="21"/>
        </w:rPr>
        <w:t>电子邮箱：</w:t>
      </w:r>
      <w:r>
        <w:rPr>
          <w:rFonts w:hint="eastAsia" w:asciiTheme="minorEastAsia" w:hAnsiTheme="minorEastAsia"/>
          <w:szCs w:val="21"/>
          <w:u w:val="single"/>
        </w:rPr>
        <w:t xml:space="preserve"> </w:t>
      </w:r>
      <w:r>
        <w:rPr>
          <w:rFonts w:hint="eastAsia" w:asciiTheme="minorEastAsia" w:hAnsiTheme="minorEastAsia"/>
          <w:szCs w:val="21"/>
          <w:u w:val="single"/>
          <w:lang w:val="en-US" w:eastAsia="zh-CN"/>
        </w:rPr>
        <w:t>291829817@qq.com</w:t>
      </w:r>
      <w:r>
        <w:rPr>
          <w:rFonts w:hint="eastAsia" w:asciiTheme="minorEastAsia" w:hAnsiTheme="minorEastAsia"/>
          <w:szCs w:val="21"/>
          <w:u w:val="single"/>
        </w:rPr>
        <w:t xml:space="preserve"> </w:t>
      </w:r>
    </w:p>
    <w:p>
      <w:pPr>
        <w:pStyle w:val="22"/>
        <w:adjustRightInd w:val="0"/>
        <w:snapToGrid w:val="0"/>
        <w:spacing w:line="360" w:lineRule="auto"/>
        <w:jc w:val="center"/>
        <w:rPr>
          <w:rFonts w:ascii="黑体" w:hAnsi="华文中宋" w:eastAsia="黑体"/>
          <w:b/>
          <w:sz w:val="32"/>
          <w:szCs w:val="32"/>
        </w:rPr>
      </w:pPr>
      <w:r>
        <w:rPr>
          <w:rFonts w:ascii="黑体" w:hAnsi="华文中宋" w:eastAsia="黑体"/>
          <w:b/>
          <w:sz w:val="32"/>
          <w:szCs w:val="32"/>
        </w:rPr>
        <w:br w:type="page"/>
      </w:r>
    </w:p>
    <w:p>
      <w:pPr>
        <w:pStyle w:val="22"/>
        <w:adjustRightInd w:val="0"/>
        <w:snapToGrid w:val="0"/>
        <w:spacing w:line="360" w:lineRule="auto"/>
        <w:jc w:val="center"/>
        <w:outlineLvl w:val="0"/>
        <w:rPr>
          <w:rFonts w:ascii="黑体" w:hAnsi="华文中宋" w:eastAsia="黑体"/>
          <w:b/>
          <w:spacing w:val="100"/>
          <w:sz w:val="32"/>
          <w:szCs w:val="32"/>
        </w:rPr>
      </w:pPr>
      <w:bookmarkStart w:id="18" w:name="_Toc20651193"/>
      <w:r>
        <w:rPr>
          <w:rFonts w:hint="eastAsia" w:ascii="黑体" w:hAnsi="华文中宋" w:eastAsia="黑体"/>
          <w:b/>
          <w:sz w:val="32"/>
          <w:szCs w:val="32"/>
        </w:rPr>
        <w:t>第二章 投标须知</w:t>
      </w:r>
      <w:bookmarkEnd w:id="0"/>
      <w:bookmarkEnd w:id="1"/>
      <w:bookmarkEnd w:id="2"/>
      <w:bookmarkEnd w:id="3"/>
      <w:bookmarkEnd w:id="4"/>
      <w:bookmarkEnd w:id="5"/>
      <w:bookmarkEnd w:id="6"/>
      <w:bookmarkEnd w:id="7"/>
      <w:bookmarkEnd w:id="18"/>
    </w:p>
    <w:p>
      <w:pPr>
        <w:pStyle w:val="4"/>
        <w:adjustRightInd w:val="0"/>
        <w:snapToGrid w:val="0"/>
        <w:jc w:val="center"/>
        <w:rPr>
          <w:rFonts w:ascii="黑体" w:hAnsi="华文中宋" w:eastAsia="黑体"/>
          <w:spacing w:val="100"/>
          <w:sz w:val="28"/>
          <w:szCs w:val="28"/>
        </w:rPr>
      </w:pPr>
      <w:bookmarkStart w:id="19" w:name="_Toc20651194"/>
      <w:r>
        <w:rPr>
          <w:rFonts w:hint="eastAsia" w:ascii="黑体" w:hAnsi="华文中宋" w:eastAsia="黑体"/>
          <w:sz w:val="28"/>
          <w:szCs w:val="28"/>
        </w:rPr>
        <w:t>第一节 投标须知前附表</w:t>
      </w:r>
      <w:bookmarkEnd w:id="19"/>
    </w:p>
    <w:p>
      <w:pPr>
        <w:adjustRightInd w:val="0"/>
        <w:snapToGrid w:val="0"/>
        <w:spacing w:line="360" w:lineRule="auto"/>
        <w:ind w:right="31" w:rightChars="15"/>
        <w:jc w:val="right"/>
        <w:rPr>
          <w:rFonts w:asciiTheme="minorEastAsia" w:hAnsiTheme="minorEastAsia" w:eastAsiaTheme="minorEastAsia"/>
          <w:i w:val="0"/>
          <w:iCs/>
          <w:szCs w:val="21"/>
        </w:rPr>
      </w:pPr>
      <w:r>
        <w:rPr>
          <w:rFonts w:hint="eastAsia" w:asciiTheme="minorEastAsia" w:hAnsiTheme="minorEastAsia" w:eastAsiaTheme="minorEastAsia"/>
          <w:i w:val="0"/>
          <w:iCs/>
          <w:szCs w:val="21"/>
        </w:rPr>
        <w:t>注：本项目启用的条款在“编列内容规定”栏内以“■”标注。</w:t>
      </w:r>
    </w:p>
    <w:tbl>
      <w:tblPr>
        <w:tblStyle w:val="42"/>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693"/>
        <w:gridCol w:w="467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条款号</w:t>
            </w:r>
          </w:p>
        </w:tc>
        <w:tc>
          <w:tcPr>
            <w:tcW w:w="2693"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条款名称</w:t>
            </w:r>
          </w:p>
        </w:tc>
        <w:tc>
          <w:tcPr>
            <w:tcW w:w="4678"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第1.1款</w:t>
            </w:r>
          </w:p>
        </w:tc>
        <w:tc>
          <w:tcPr>
            <w:tcW w:w="2693" w:type="dxa"/>
            <w:vAlign w:val="center"/>
          </w:tcPr>
          <w:p>
            <w:pPr>
              <w:adjustRightInd w:val="0"/>
              <w:snapToGrid w:val="0"/>
              <w:spacing w:line="360" w:lineRule="auto"/>
              <w:rPr>
                <w:rFonts w:hAnsi="宋体"/>
                <w:szCs w:val="21"/>
              </w:rPr>
            </w:pPr>
            <w:r>
              <w:rPr>
                <w:rFonts w:hint="eastAsia" w:hAnsi="宋体"/>
                <w:szCs w:val="21"/>
              </w:rPr>
              <w:t>采购项目</w:t>
            </w:r>
          </w:p>
        </w:tc>
        <w:tc>
          <w:tcPr>
            <w:tcW w:w="4678" w:type="dxa"/>
            <w:vAlign w:val="center"/>
          </w:tcPr>
          <w:p>
            <w:pPr>
              <w:adjustRightInd w:val="0"/>
              <w:snapToGrid w:val="0"/>
              <w:spacing w:line="420" w:lineRule="exact"/>
              <w:rPr>
                <w:rFonts w:hAnsi="宋体"/>
                <w:szCs w:val="21"/>
              </w:rPr>
            </w:pPr>
            <w:r>
              <w:rPr>
                <w:rFonts w:hint="eastAsia" w:hAnsi="宋体"/>
                <w:szCs w:val="21"/>
              </w:rPr>
              <w:t>湖南科技学院学生食堂物资配送供应商采购项目</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restart"/>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第1.2款</w:t>
            </w:r>
          </w:p>
        </w:tc>
        <w:tc>
          <w:tcPr>
            <w:tcW w:w="2693" w:type="dxa"/>
            <w:vAlign w:val="center"/>
          </w:tcPr>
          <w:p>
            <w:pPr>
              <w:adjustRightInd w:val="0"/>
              <w:snapToGrid w:val="0"/>
              <w:spacing w:line="360" w:lineRule="auto"/>
              <w:rPr>
                <w:rFonts w:hAnsi="宋体"/>
                <w:szCs w:val="21"/>
              </w:rPr>
            </w:pPr>
            <w:r>
              <w:rPr>
                <w:rFonts w:hint="eastAsia" w:hAnsi="宋体"/>
                <w:szCs w:val="21"/>
              </w:rPr>
              <w:t>专门面向中小企业采购</w:t>
            </w:r>
          </w:p>
        </w:tc>
        <w:tc>
          <w:tcPr>
            <w:tcW w:w="4678" w:type="dxa"/>
            <w:vAlign w:val="center"/>
          </w:tcPr>
          <w:p>
            <w:pPr>
              <w:adjustRightInd w:val="0"/>
              <w:snapToGrid w:val="0"/>
              <w:spacing w:line="420" w:lineRule="exact"/>
              <w:rPr>
                <w:rFonts w:hAnsi="宋体"/>
                <w:szCs w:val="21"/>
                <w:lang w:val="en-US" w:eastAsia="zh-CN"/>
              </w:rPr>
            </w:pPr>
            <w:r>
              <w:rPr>
                <w:rFonts w:hint="eastAsia" w:hAnsi="宋体"/>
                <w:szCs w:val="21"/>
                <w:lang w:val="en-US" w:eastAsia="zh-CN"/>
              </w:rPr>
              <w:t>□本项目专门面向中小企业采购</w:t>
            </w:r>
          </w:p>
          <w:p>
            <w:pPr>
              <w:adjustRightInd w:val="0"/>
              <w:snapToGrid w:val="0"/>
              <w:spacing w:line="420" w:lineRule="exact"/>
              <w:rPr>
                <w:rFonts w:hint="eastAsia" w:hAnsi="宋体"/>
                <w:szCs w:val="21"/>
                <w:lang w:val="en-US" w:eastAsia="zh-CN"/>
              </w:rPr>
            </w:pPr>
            <w:bookmarkStart w:id="20" w:name="EB78287812e2e546bd9557d2b22f164d61"/>
            <w:r>
              <w:rPr>
                <w:rFonts w:hint="eastAsia" w:hAnsi="宋体"/>
                <w:szCs w:val="21"/>
                <w:lang w:val="en-US" w:eastAsia="zh-CN"/>
              </w:rPr>
              <w:t>□</w:t>
            </w:r>
            <w:bookmarkEnd w:id="20"/>
            <w:r>
              <w:rPr>
                <w:rFonts w:hint="eastAsia" w:hAnsi="宋体"/>
                <w:szCs w:val="21"/>
                <w:lang w:val="en-US" w:eastAsia="zh-CN"/>
              </w:rPr>
              <w:t>本项目（</w:t>
            </w:r>
            <w:bookmarkStart w:id="21" w:name="EB8c7268aa19ba49e9ac79a8efd8f2520f"/>
            <w:bookmarkEnd w:id="21"/>
            <w:r>
              <w:rPr>
                <w:rFonts w:hint="eastAsia" w:hAnsi="宋体"/>
                <w:szCs w:val="21"/>
                <w:lang w:val="en-US" w:eastAsia="zh-CN"/>
              </w:rPr>
              <w:t>）包专门面向中小企业采购</w:t>
            </w:r>
          </w:p>
          <w:p>
            <w:pPr>
              <w:adjustRightInd w:val="0"/>
              <w:snapToGrid w:val="0"/>
              <w:spacing w:line="420" w:lineRule="exact"/>
              <w:rPr>
                <w:rFonts w:hAnsi="宋体"/>
                <w:szCs w:val="21"/>
                <w:lang w:val="en-US" w:eastAsia="zh-CN"/>
              </w:rPr>
            </w:pPr>
            <w:bookmarkStart w:id="22" w:name="EB1a2c1d551a554e5082b906d5dc6d8f58"/>
            <w:r>
              <w:rPr>
                <w:rFonts w:hint="eastAsia" w:hAnsi="宋体"/>
                <w:szCs w:val="21"/>
                <w:lang w:val="en-US" w:eastAsia="zh-CN"/>
              </w:rPr>
              <w:t>□</w:t>
            </w:r>
            <w:bookmarkEnd w:id="22"/>
            <w:r>
              <w:rPr>
                <w:rFonts w:hint="eastAsia" w:hAnsi="宋体"/>
                <w:szCs w:val="21"/>
                <w:lang w:val="en-US" w:eastAsia="zh-CN"/>
              </w:rPr>
              <w:t>本项目专门面向小微企业采购</w:t>
            </w:r>
          </w:p>
          <w:p>
            <w:pPr>
              <w:adjustRightInd w:val="0"/>
              <w:snapToGrid w:val="0"/>
              <w:spacing w:line="420" w:lineRule="exact"/>
              <w:rPr>
                <w:rFonts w:hAnsi="宋体"/>
                <w:szCs w:val="21"/>
              </w:rPr>
            </w:pPr>
            <w:bookmarkStart w:id="23" w:name="EB0ddb70c82e0c4cad9322776da20178c3"/>
            <w:r>
              <w:rPr>
                <w:rFonts w:hint="eastAsia" w:hAnsi="宋体"/>
                <w:szCs w:val="21"/>
                <w:lang w:val="en-US" w:eastAsia="zh-CN"/>
              </w:rPr>
              <w:t>□</w:t>
            </w:r>
            <w:bookmarkEnd w:id="23"/>
            <w:r>
              <w:rPr>
                <w:rFonts w:hint="eastAsia" w:hAnsi="宋体"/>
                <w:szCs w:val="21"/>
                <w:lang w:val="en-US" w:eastAsia="zh-CN"/>
              </w:rPr>
              <w:t>本项目 (</w:t>
            </w:r>
            <w:bookmarkStart w:id="24" w:name="EBf1c3151adda0447aaa4cc37daf3a9850"/>
            <w:bookmarkEnd w:id="24"/>
            <w:r>
              <w:rPr>
                <w:rFonts w:hint="eastAsia" w:hAnsi="宋体"/>
                <w:szCs w:val="21"/>
                <w:lang w:val="en-US" w:eastAsia="zh-CN"/>
              </w:rPr>
              <w:t>)包专门面向小微企业采购</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continue"/>
            <w:vAlign w:val="center"/>
          </w:tcPr>
          <w:p>
            <w:pPr>
              <w:adjustRightInd w:val="0"/>
              <w:snapToGrid w:val="0"/>
              <w:spacing w:line="360" w:lineRule="auto"/>
              <w:jc w:val="center"/>
              <w:rPr>
                <w:rFonts w:hint="eastAsia" w:asciiTheme="minorEastAsia" w:hAnsiTheme="minorEastAsia" w:eastAsiaTheme="minorEastAsia"/>
                <w:szCs w:val="21"/>
              </w:rPr>
            </w:pPr>
          </w:p>
        </w:tc>
        <w:tc>
          <w:tcPr>
            <w:tcW w:w="2693" w:type="dxa"/>
            <w:vAlign w:val="center"/>
          </w:tcPr>
          <w:p>
            <w:pPr>
              <w:widowControl w:val="0"/>
              <w:adjustRightInd w:val="0"/>
              <w:snapToGrid w:val="0"/>
              <w:spacing w:line="360" w:lineRule="auto"/>
              <w:jc w:val="both"/>
              <w:rPr>
                <w:rFonts w:hint="eastAsia" w:ascii="等线" w:hAnsi="宋体" w:eastAsia="等线" w:cs="Times New Roman"/>
                <w:kern w:val="2"/>
                <w:sz w:val="21"/>
                <w:szCs w:val="21"/>
                <w:lang w:val="en-US" w:eastAsia="zh-CN" w:bidi="ar-SA"/>
              </w:rPr>
            </w:pPr>
            <w:r>
              <w:rPr>
                <w:rFonts w:hint="eastAsia" w:ascii="等线" w:hAnsi="宋体" w:eastAsia="等线"/>
                <w:kern w:val="2"/>
                <w:sz w:val="21"/>
                <w:szCs w:val="21"/>
                <w:highlight w:val="white"/>
                <w:lang w:val="en-US" w:eastAsia="zh-CN" w:bidi="ar-SA"/>
              </w:rPr>
              <w:t>非专门面向中小企业采购</w:t>
            </w:r>
          </w:p>
        </w:tc>
        <w:tc>
          <w:tcPr>
            <w:tcW w:w="4678" w:type="dxa"/>
            <w:vAlign w:val="center"/>
          </w:tcPr>
          <w:p>
            <w:pPr>
              <w:widowControl w:val="0"/>
              <w:adjustRightInd w:val="0"/>
              <w:snapToGrid w:val="0"/>
              <w:spacing w:line="420" w:lineRule="exact"/>
              <w:jc w:val="both"/>
              <w:rPr>
                <w:rFonts w:hint="eastAsia" w:ascii="等线" w:hAnsi="宋体" w:eastAsia="等线" w:cs="Times New Roman"/>
                <w:color w:val="0000FF"/>
                <w:kern w:val="2"/>
                <w:sz w:val="21"/>
                <w:szCs w:val="21"/>
                <w:highlight w:val="green"/>
                <w:lang w:val="en-US" w:eastAsia="zh-CN" w:bidi="ar-SA"/>
              </w:rPr>
            </w:pPr>
            <w:r>
              <w:rPr>
                <w:rFonts w:hint="eastAsia" w:ascii="Times New Roman" w:hAnsi="宋体" w:eastAsia="宋体" w:cs="Times New Roman"/>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第2.1</w:t>
            </w:r>
            <w:r>
              <w:rPr>
                <w:rFonts w:hint="eastAsia" w:cs="宋体" w:asciiTheme="minorEastAsia" w:hAnsiTheme="minorEastAsia" w:eastAsiaTheme="minorEastAsia"/>
                <w:kern w:val="0"/>
                <w:szCs w:val="21"/>
                <w:lang w:val="zh-CN"/>
              </w:rPr>
              <w:t>款</w:t>
            </w:r>
          </w:p>
        </w:tc>
        <w:tc>
          <w:tcPr>
            <w:tcW w:w="2693" w:type="dxa"/>
          </w:tcPr>
          <w:p>
            <w:pPr>
              <w:adjustRightInd w:val="0"/>
              <w:snapToGrid w:val="0"/>
              <w:spacing w:line="360" w:lineRule="auto"/>
              <w:rPr>
                <w:rFonts w:asciiTheme="minorEastAsia" w:hAnsiTheme="minorEastAsia" w:eastAsiaTheme="minorEastAsia"/>
                <w:szCs w:val="21"/>
              </w:rPr>
            </w:pPr>
            <w:r>
              <w:rPr>
                <w:rFonts w:hint="eastAsia" w:hAnsi="宋体"/>
                <w:szCs w:val="21"/>
              </w:rPr>
              <w:t>采购项目联系人姓名和电话</w:t>
            </w:r>
          </w:p>
        </w:tc>
        <w:tc>
          <w:tcPr>
            <w:tcW w:w="4678" w:type="dxa"/>
            <w:vAlign w:val="center"/>
          </w:tcPr>
          <w:p>
            <w:pPr>
              <w:adjustRightInd w:val="0"/>
              <w:snapToGrid w:val="0"/>
              <w:spacing w:line="420" w:lineRule="exact"/>
              <w:rPr>
                <w:rFonts w:hint="eastAsia" w:ascii="Times New Roman" w:hAnsi="宋体" w:eastAsia="宋体" w:cs="Times New Roman"/>
                <w:szCs w:val="21"/>
                <w:lang w:val="en-US" w:eastAsia="zh-CN"/>
              </w:rPr>
            </w:pPr>
            <w:r>
              <w:rPr>
                <w:rFonts w:hint="eastAsia" w:ascii="Times New Roman" w:hAnsi="宋体" w:eastAsia="宋体" w:cs="Times New Roman"/>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hAnsi="宋体"/>
                <w:szCs w:val="21"/>
              </w:rPr>
              <w:t>采购人名称、地址、电话、联系人</w:t>
            </w:r>
          </w:p>
        </w:tc>
        <w:tc>
          <w:tcPr>
            <w:tcW w:w="4678" w:type="dxa"/>
            <w:vAlign w:val="center"/>
          </w:tcPr>
          <w:p>
            <w:pPr>
              <w:adjustRightInd w:val="0"/>
              <w:snapToGrid w:val="0"/>
              <w:spacing w:line="420" w:lineRule="exact"/>
              <w:rPr>
                <w:rFonts w:hint="eastAsia" w:ascii="Times New Roman" w:hAnsi="宋体" w:eastAsia="宋体" w:cs="Times New Roman"/>
                <w:szCs w:val="21"/>
                <w:lang w:val="en-US" w:eastAsia="zh-CN"/>
              </w:rPr>
            </w:pPr>
            <w:r>
              <w:rPr>
                <w:rFonts w:hint="eastAsia" w:ascii="Times New Roman" w:hAnsi="宋体" w:eastAsia="宋体" w:cs="Times New Roman"/>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第2.3</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hAnsi="宋体"/>
                <w:szCs w:val="21"/>
              </w:rPr>
              <w:t>采购代理机构名称、地址、电话、联系人</w:t>
            </w:r>
          </w:p>
        </w:tc>
        <w:tc>
          <w:tcPr>
            <w:tcW w:w="4678" w:type="dxa"/>
            <w:vAlign w:val="center"/>
          </w:tcPr>
          <w:p>
            <w:pPr>
              <w:adjustRightInd w:val="0"/>
              <w:snapToGrid w:val="0"/>
              <w:spacing w:line="420" w:lineRule="exact"/>
              <w:rPr>
                <w:rFonts w:hint="eastAsia" w:ascii="Times New Roman" w:hAnsi="宋体" w:eastAsia="宋体" w:cs="Times New Roman"/>
                <w:szCs w:val="21"/>
                <w:lang w:val="en-US" w:eastAsia="zh-CN"/>
              </w:rPr>
            </w:pPr>
            <w:r>
              <w:rPr>
                <w:rFonts w:hint="eastAsia" w:ascii="Times New Roman" w:hAnsi="宋体" w:eastAsia="宋体" w:cs="Times New Roman"/>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第2.5</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hAnsi="宋体"/>
                <w:szCs w:val="21"/>
              </w:rPr>
            </w:pPr>
            <w:r>
              <w:rPr>
                <w:rFonts w:hint="eastAsia" w:hAnsi="宋体"/>
                <w:szCs w:val="21"/>
              </w:rPr>
              <w:t>采购进口产品</w:t>
            </w:r>
          </w:p>
        </w:tc>
        <w:tc>
          <w:tcPr>
            <w:tcW w:w="4678" w:type="dxa"/>
            <w:vAlign w:val="center"/>
          </w:tcPr>
          <w:p>
            <w:pPr>
              <w:adjustRightInd w:val="0"/>
              <w:snapToGrid w:val="0"/>
              <w:spacing w:line="420" w:lineRule="exact"/>
              <w:rPr>
                <w:rFonts w:hint="eastAsia" w:ascii="Times New Roman" w:hAnsi="宋体" w:eastAsia="宋体" w:cs="Times New Roman"/>
                <w:szCs w:val="21"/>
                <w:lang w:val="en-US" w:eastAsia="zh-CN"/>
              </w:rPr>
            </w:pPr>
            <w:bookmarkStart w:id="25" w:name="EB99c6d7b5f18845c0a3ce9a1107f3e93f"/>
            <w:r>
              <w:rPr>
                <w:rFonts w:hint="eastAsia" w:ascii="Times New Roman" w:hAnsi="宋体" w:eastAsia="宋体" w:cs="Times New Roman"/>
                <w:szCs w:val="21"/>
                <w:lang w:val="en-US" w:eastAsia="zh-CN"/>
              </w:rPr>
              <w:t>□</w:t>
            </w:r>
            <w:bookmarkEnd w:id="25"/>
            <w:r>
              <w:rPr>
                <w:rFonts w:hint="eastAsia" w:ascii="Times New Roman" w:hAnsi="宋体" w:eastAsia="宋体" w:cs="Times New Roman"/>
                <w:szCs w:val="21"/>
                <w:lang w:val="en-US" w:eastAsia="zh-CN"/>
              </w:rPr>
              <w:t>接受本项目已经财政部门审核或备案同意购买进口产品</w:t>
            </w:r>
          </w:p>
          <w:p>
            <w:pPr>
              <w:adjustRightInd w:val="0"/>
              <w:snapToGrid w:val="0"/>
              <w:spacing w:line="420" w:lineRule="exact"/>
              <w:rPr>
                <w:rFonts w:hint="eastAsia" w:ascii="Times New Roman" w:hAnsi="宋体" w:eastAsia="宋体" w:cs="Times New Roman"/>
                <w:szCs w:val="21"/>
                <w:lang w:val="en-US" w:eastAsia="zh-CN"/>
              </w:rPr>
            </w:pPr>
            <w:bookmarkStart w:id="26" w:name="EB2a57198845b44d54b1e932cd5cae5ad8"/>
            <w:r>
              <w:rPr>
                <w:rFonts w:hint="eastAsia" w:ascii="Times New Roman" w:hAnsi="宋体" w:eastAsia="宋体" w:cs="Times New Roman"/>
                <w:szCs w:val="21"/>
                <w:lang w:val="en-US" w:eastAsia="zh-CN"/>
              </w:rPr>
              <w:t>☑</w:t>
            </w:r>
            <w:bookmarkEnd w:id="26"/>
            <w:r>
              <w:rPr>
                <w:rFonts w:hint="eastAsia" w:ascii="Times New Roman" w:hAnsi="宋体" w:eastAsia="宋体" w:cs="Times New Roman"/>
                <w:szCs w:val="21"/>
                <w:lang w:val="en-US" w:eastAsia="zh-CN"/>
              </w:rPr>
              <w:t>拒绝本项目拒绝进口产品参加投标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hAnsi="宋体"/>
                <w:szCs w:val="21"/>
              </w:rPr>
            </w:pPr>
            <w:r>
              <w:rPr>
                <w:rFonts w:hint="eastAsia" w:asciiTheme="minorEastAsia" w:hAnsiTheme="minorEastAsia" w:eastAsiaTheme="minorEastAsia"/>
                <w:szCs w:val="21"/>
              </w:rPr>
              <w:t>投标人资格条件</w:t>
            </w:r>
          </w:p>
        </w:tc>
        <w:tc>
          <w:tcPr>
            <w:tcW w:w="4678" w:type="dxa"/>
            <w:vAlign w:val="center"/>
          </w:tcPr>
          <w:p>
            <w:pPr>
              <w:adjustRightInd w:val="0"/>
              <w:snapToGrid w:val="0"/>
              <w:spacing w:line="420" w:lineRule="exact"/>
              <w:rPr>
                <w:rFonts w:hAnsi="宋体"/>
                <w:szCs w:val="21"/>
              </w:rPr>
            </w:pPr>
            <w:r>
              <w:rPr>
                <w:rFonts w:hint="eastAsia" w:hAnsi="宋体"/>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hAnsi="宋体"/>
                <w:szCs w:val="21"/>
              </w:rPr>
            </w:pPr>
            <w:r>
              <w:rPr>
                <w:rFonts w:hint="eastAsia" w:hAnsi="宋体"/>
                <w:szCs w:val="21"/>
              </w:rPr>
              <w:t>接受联合体形式投标</w:t>
            </w:r>
          </w:p>
        </w:tc>
        <w:tc>
          <w:tcPr>
            <w:tcW w:w="4678" w:type="dxa"/>
            <w:vAlign w:val="center"/>
          </w:tcPr>
          <w:p>
            <w:pPr>
              <w:adjustRightInd w:val="0"/>
              <w:snapToGrid w:val="0"/>
              <w:spacing w:line="420" w:lineRule="exact"/>
              <w:rPr>
                <w:rFonts w:hint="eastAsia" w:hAnsi="宋体"/>
                <w:szCs w:val="21"/>
                <w:lang w:val="en-US" w:eastAsia="zh-CN"/>
              </w:rPr>
            </w:pPr>
            <w:bookmarkStart w:id="27" w:name="EBbf40571d10fd4a1fb9c68e3cb022f782"/>
            <w:r>
              <w:rPr>
                <w:rFonts w:hint="eastAsia" w:hAnsi="宋体"/>
                <w:szCs w:val="21"/>
                <w:lang w:val="en-US" w:eastAsia="zh-CN"/>
              </w:rPr>
              <w:t>□</w:t>
            </w:r>
            <w:bookmarkEnd w:id="27"/>
            <w:r>
              <w:rPr>
                <w:rFonts w:hint="eastAsia" w:hAnsi="宋体"/>
                <w:szCs w:val="21"/>
                <w:lang w:val="en-US" w:eastAsia="zh-CN"/>
              </w:rPr>
              <w:t>接受</w:t>
            </w:r>
            <w:bookmarkStart w:id="28" w:name="EB70b5cfa5113846ceaa8a8546f5d2580c"/>
            <w:r>
              <w:rPr>
                <w:rFonts w:hint="eastAsia" w:hAnsi="宋体"/>
                <w:szCs w:val="21"/>
                <w:lang w:val="en-US" w:eastAsia="zh-CN"/>
              </w:rPr>
              <w:t>\</w:t>
            </w:r>
            <w:bookmarkEnd w:id="28"/>
          </w:p>
          <w:p>
            <w:pPr>
              <w:adjustRightInd w:val="0"/>
              <w:snapToGrid w:val="0"/>
              <w:spacing w:line="420" w:lineRule="exact"/>
              <w:rPr>
                <w:rFonts w:hAnsi="宋体"/>
                <w:szCs w:val="21"/>
                <w:lang w:val="en-US" w:eastAsia="zh-CN"/>
              </w:rPr>
            </w:pPr>
            <w:bookmarkStart w:id="29" w:name="EB9470b9c901a345a4925ebb7374e708e1"/>
            <w:r>
              <w:rPr>
                <w:rFonts w:hint="eastAsia" w:hAnsi="宋体"/>
                <w:szCs w:val="21"/>
                <w:lang w:val="en-US" w:eastAsia="zh-CN"/>
              </w:rPr>
              <w:t>□</w:t>
            </w:r>
            <w:bookmarkEnd w:id="29"/>
            <w:r>
              <w:rPr>
                <w:rFonts w:hint="eastAsia" w:hAnsi="宋体"/>
                <w:szCs w:val="21"/>
                <w:lang w:val="en-US" w:eastAsia="zh-CN"/>
              </w:rPr>
              <w:t>（</w:t>
            </w:r>
            <w:bookmarkStart w:id="30" w:name="EB8ba088ead794402c98f80184e4156bef"/>
            <w:r>
              <w:rPr>
                <w:rFonts w:hint="eastAsia" w:hAnsi="宋体"/>
                <w:szCs w:val="21"/>
                <w:lang w:val="en-US" w:eastAsia="zh-CN"/>
              </w:rPr>
              <w:t>\</w:t>
            </w:r>
            <w:bookmarkEnd w:id="30"/>
            <w:r>
              <w:rPr>
                <w:rFonts w:hint="eastAsia" w:hAnsi="宋体"/>
                <w:szCs w:val="21"/>
                <w:lang w:val="en-US" w:eastAsia="zh-CN"/>
              </w:rPr>
              <w:t>）包接受</w:t>
            </w:r>
          </w:p>
          <w:p>
            <w:pPr>
              <w:adjustRightInd w:val="0"/>
              <w:snapToGrid w:val="0"/>
              <w:spacing w:line="420" w:lineRule="exact"/>
              <w:rPr>
                <w:rFonts w:hAnsi="宋体"/>
                <w:szCs w:val="21"/>
              </w:rPr>
            </w:pPr>
            <w:bookmarkStart w:id="31" w:name="EB28ea0256a84949f89404ecda3d5eafac"/>
            <w:r>
              <w:rPr>
                <w:rFonts w:hint="eastAsia" w:hAnsi="宋体"/>
                <w:szCs w:val="21"/>
                <w:lang w:val="en-US" w:eastAsia="zh-CN"/>
              </w:rPr>
              <w:t>☑</w:t>
            </w:r>
            <w:bookmarkEnd w:id="31"/>
            <w:r>
              <w:rPr>
                <w:rFonts w:hint="eastAsia" w:hAnsi="宋体"/>
                <w:szCs w:val="21"/>
                <w:lang w:val="en-US" w:eastAsia="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hAnsi="宋体"/>
                <w:szCs w:val="21"/>
              </w:rPr>
            </w:pPr>
            <w:r>
              <w:rPr>
                <w:rFonts w:hint="eastAsia" w:asciiTheme="minorEastAsia" w:hAnsiTheme="minorEastAsia" w:eastAsiaTheme="minorEastAsia"/>
                <w:szCs w:val="21"/>
              </w:rPr>
              <w:t>招标文件提供期限</w:t>
            </w:r>
          </w:p>
        </w:tc>
        <w:tc>
          <w:tcPr>
            <w:tcW w:w="4678" w:type="dxa"/>
            <w:vAlign w:val="center"/>
          </w:tcPr>
          <w:p>
            <w:pPr>
              <w:adjustRightInd w:val="0"/>
              <w:snapToGrid w:val="0"/>
              <w:spacing w:line="420" w:lineRule="exact"/>
              <w:rPr>
                <w:rFonts w:hAnsi="宋体"/>
                <w:szCs w:val="21"/>
              </w:rPr>
            </w:pPr>
            <w:r>
              <w:rPr>
                <w:rFonts w:hint="eastAsia" w:hAnsi="宋体"/>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组织现场考察或者召开答疑会</w:t>
            </w:r>
          </w:p>
        </w:tc>
        <w:tc>
          <w:tcPr>
            <w:tcW w:w="4678" w:type="dxa"/>
            <w:vAlign w:val="center"/>
          </w:tcPr>
          <w:p>
            <w:pPr>
              <w:adjustRightInd w:val="0"/>
              <w:snapToGrid w:val="0"/>
              <w:spacing w:line="360" w:lineRule="auto"/>
              <w:rPr>
                <w:rFonts w:hint="eastAsia" w:asciiTheme="minorEastAsia" w:hAnsiTheme="minorEastAsia" w:eastAsiaTheme="minorEastAsia"/>
                <w:szCs w:val="21"/>
                <w:lang w:val="en-US" w:eastAsia="zh-CN"/>
              </w:rPr>
            </w:pPr>
            <w:bookmarkStart w:id="32" w:name="EBeea09b9ead8147cab3c9995102bfe1e6"/>
            <w:r>
              <w:rPr>
                <w:rFonts w:hint="eastAsia" w:asciiTheme="minorEastAsia" w:hAnsiTheme="minorEastAsia" w:eastAsiaTheme="minorEastAsia"/>
                <w:szCs w:val="21"/>
                <w:lang w:val="en-US" w:eastAsia="zh-CN"/>
              </w:rPr>
              <w:t>☑</w:t>
            </w:r>
            <w:bookmarkEnd w:id="32"/>
            <w:r>
              <w:rPr>
                <w:rFonts w:hint="eastAsia" w:asciiTheme="minorEastAsia" w:hAnsiTheme="minorEastAsia" w:eastAsiaTheme="minorEastAsia"/>
                <w:szCs w:val="21"/>
                <w:lang w:val="en-US" w:eastAsia="zh-CN"/>
              </w:rPr>
              <w:t>不组织</w:t>
            </w:r>
          </w:p>
          <w:p>
            <w:pPr>
              <w:adjustRightInd w:val="0"/>
              <w:snapToGrid w:val="0"/>
              <w:spacing w:line="360" w:lineRule="auto"/>
              <w:rPr>
                <w:rFonts w:hint="eastAsia" w:asciiTheme="minorEastAsia" w:hAnsiTheme="minorEastAsia" w:eastAsiaTheme="minorEastAsia"/>
                <w:szCs w:val="21"/>
                <w:lang w:val="en-US" w:eastAsia="zh-CN"/>
              </w:rPr>
            </w:pPr>
            <w:bookmarkStart w:id="33" w:name="EB7a511f38f23f439e88109e83487fb695"/>
            <w:r>
              <w:rPr>
                <w:rFonts w:hint="eastAsia" w:asciiTheme="minorEastAsia" w:hAnsiTheme="minorEastAsia" w:eastAsiaTheme="minorEastAsia"/>
                <w:szCs w:val="21"/>
                <w:lang w:val="en-US" w:eastAsia="zh-CN"/>
              </w:rPr>
              <w:t>□</w:t>
            </w:r>
            <w:bookmarkEnd w:id="33"/>
            <w:r>
              <w:rPr>
                <w:rFonts w:hint="eastAsia" w:asciiTheme="minorEastAsia" w:hAnsiTheme="minorEastAsia" w:eastAsiaTheme="minorEastAsia"/>
                <w:szCs w:val="21"/>
                <w:lang w:val="en-US" w:eastAsia="zh-CN"/>
              </w:rPr>
              <w:t>组织</w:t>
            </w:r>
          </w:p>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时间：</w:t>
            </w:r>
            <w:bookmarkStart w:id="34" w:name="EB06d1abba7ab5461db8063a26f5d960bb"/>
            <w:r>
              <w:rPr>
                <w:rFonts w:hint="eastAsia" w:asciiTheme="minorEastAsia" w:hAnsiTheme="minorEastAsia" w:eastAsiaTheme="minorEastAsia"/>
                <w:szCs w:val="21"/>
                <w:lang w:val="en-US" w:eastAsia="zh-CN"/>
              </w:rPr>
              <w:t>\</w:t>
            </w:r>
            <w:bookmarkEnd w:id="34"/>
          </w:p>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地点：</w:t>
            </w:r>
            <w:bookmarkStart w:id="35" w:name="EB7f59c17bf8f34fc69a28d2f9f2864d39"/>
            <w:r>
              <w:rPr>
                <w:rFonts w:hint="eastAsia" w:asciiTheme="minorEastAsia" w:hAnsiTheme="minorEastAsia" w:eastAsiaTheme="minorEastAsia"/>
                <w:szCs w:val="21"/>
                <w:lang w:val="en-US" w:eastAsia="zh-CN"/>
              </w:rPr>
              <w:t>\</w:t>
            </w:r>
            <w:bookmarkEnd w:id="35"/>
          </w:p>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联系人：</w:t>
            </w:r>
            <w:bookmarkStart w:id="36" w:name="EB38cbd3b2f6484a7eb85279e00e32fdae"/>
            <w:r>
              <w:rPr>
                <w:rFonts w:hint="eastAsia" w:asciiTheme="minorEastAsia" w:hAnsiTheme="minorEastAsia" w:eastAsiaTheme="minorEastAsia"/>
                <w:szCs w:val="21"/>
                <w:lang w:val="en-US" w:eastAsia="zh-CN"/>
              </w:rPr>
              <w:t>\</w:t>
            </w:r>
            <w:bookmarkEnd w:id="36"/>
          </w:p>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联系方式：</w:t>
            </w:r>
            <w:bookmarkStart w:id="37" w:name="EB805e82fc194c42698f4bf275c408af00"/>
            <w:r>
              <w:rPr>
                <w:rFonts w:hint="eastAsia" w:asciiTheme="minorEastAsia" w:hAnsiTheme="minorEastAsia" w:eastAsiaTheme="minorEastAsia"/>
                <w:szCs w:val="21"/>
                <w:lang w:val="en-US" w:eastAsia="zh-CN"/>
              </w:rPr>
              <w:t>\</w:t>
            </w:r>
            <w:bookmarkEnd w:id="37"/>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说明事项：</w:t>
            </w:r>
            <w:bookmarkStart w:id="38" w:name="EB466bf0c853f04e0aa8fba7afa579b5e4"/>
            <w:r>
              <w:rPr>
                <w:rFonts w:hint="eastAsia" w:asciiTheme="minorEastAsia" w:hAnsiTheme="minorEastAsia" w:eastAsiaTheme="minorEastAsia"/>
                <w:szCs w:val="21"/>
                <w:lang w:val="en-US" w:eastAsia="zh-CN"/>
              </w:rPr>
              <w:t>\</w:t>
            </w:r>
            <w:bookmarkEnd w:id="38"/>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color w:val="000000"/>
                <w:szCs w:val="21"/>
              </w:rPr>
              <w:t>二、招标文件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第7.4</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非实质性偏离的范围和幅度</w:t>
            </w:r>
          </w:p>
        </w:tc>
        <w:tc>
          <w:tcPr>
            <w:tcW w:w="4678" w:type="dxa"/>
            <w:vAlign w:val="center"/>
          </w:tcPr>
          <w:p>
            <w:pPr>
              <w:adjustRightInd w:val="0"/>
              <w:snapToGrid w:val="0"/>
              <w:spacing w:line="360" w:lineRule="auto"/>
              <w:ind w:left="105" w:hanging="105" w:hangingChars="50"/>
              <w:jc w:val="left"/>
              <w:rPr>
                <w:rFonts w:asciiTheme="minorEastAsia" w:hAnsiTheme="minorEastAsia" w:eastAsiaTheme="minorEastAsia"/>
                <w:szCs w:val="21"/>
                <w:u w:val="single"/>
              </w:rPr>
            </w:pPr>
            <w:r>
              <w:rPr>
                <w:rFonts w:hint="eastAsia" w:asciiTheme="minorEastAsia" w:hAnsiTheme="minorEastAsia" w:eastAsiaTheme="minorEastAsia"/>
                <w:szCs w:val="21"/>
                <w:u w:val="none"/>
                <w:lang w:val="en-US" w:eastAsia="zh-CN"/>
              </w:rPr>
              <w:t>招标文件第五章【采购需求】中条款偏离项数之和≥</w:t>
            </w:r>
            <w:bookmarkStart w:id="39" w:name="EB6201969af0a54fa68fc0f6b53c62df68"/>
            <w:r>
              <w:rPr>
                <w:rFonts w:hint="eastAsia" w:asciiTheme="minorEastAsia" w:hAnsiTheme="minorEastAsia" w:eastAsiaTheme="minorEastAsia"/>
                <w:szCs w:val="21"/>
                <w:u w:val="none"/>
                <w:lang w:val="en-US" w:eastAsia="zh-CN"/>
              </w:rPr>
              <w:t>10</w:t>
            </w:r>
            <w:bookmarkEnd w:id="39"/>
            <w:r>
              <w:rPr>
                <w:rFonts w:hint="eastAsia" w:asciiTheme="minorEastAsia" w:hAnsiTheme="minorEastAsia" w:eastAsiaTheme="minorEastAsia"/>
                <w:szCs w:val="21"/>
                <w:u w:val="none"/>
                <w:lang w:val="en-US" w:eastAsia="zh-CN"/>
              </w:rPr>
              <w:t>项将导致无效投标。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第9.1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招标公告指定媒体</w:t>
            </w:r>
          </w:p>
        </w:tc>
        <w:tc>
          <w:tcPr>
            <w:tcW w:w="4678" w:type="dxa"/>
            <w:vAlign w:val="center"/>
          </w:tcPr>
          <w:p>
            <w:pPr>
              <w:adjustRightInd w:val="0"/>
              <w:snapToGrid w:val="0"/>
              <w:spacing w:line="360" w:lineRule="auto"/>
              <w:ind w:left="105" w:hanging="105" w:hangingChars="50"/>
              <w:rPr>
                <w:rFonts w:hint="default" w:hAnsi="宋体" w:eastAsia="宋体"/>
                <w:szCs w:val="21"/>
                <w:lang w:val="en-US" w:eastAsia="zh-CN"/>
              </w:rPr>
            </w:pPr>
            <w:r>
              <w:rPr>
                <w:rFonts w:hint="default" w:hAnsi="宋体" w:eastAsia="宋体"/>
                <w:szCs w:val="21"/>
                <w:lang w:val="en-US" w:eastAsia="zh-CN"/>
              </w:rPr>
              <w:t>湖南科技学院网</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三、投标文件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第13.2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最高限价</w:t>
            </w:r>
          </w:p>
        </w:tc>
        <w:tc>
          <w:tcPr>
            <w:tcW w:w="4678" w:type="dxa"/>
            <w:vAlign w:val="center"/>
          </w:tcPr>
          <w:p>
            <w:pPr>
              <w:adjustRightInd w:val="0"/>
              <w:snapToGrid w:val="0"/>
              <w:spacing w:line="360" w:lineRule="auto"/>
              <w:ind w:left="105" w:hanging="105" w:hangingChars="50"/>
              <w:jc w:val="left"/>
              <w:rPr>
                <w:rFonts w:hint="default" w:asciiTheme="minorEastAsia" w:hAnsiTheme="minorEastAsia" w:eastAsiaTheme="minorEastAsia"/>
                <w:szCs w:val="21"/>
                <w:u w:val="none"/>
                <w:lang w:val="en-US" w:eastAsia="zh-CN"/>
              </w:rPr>
            </w:pPr>
            <w:r>
              <w:rPr>
                <w:rFonts w:hint="eastAsia" w:asciiTheme="minorEastAsia" w:hAnsiTheme="minorEastAsia" w:eastAsiaTheme="minorEastAsia"/>
                <w:szCs w:val="21"/>
                <w:u w:val="none"/>
                <w:lang w:val="en-US" w:eastAsia="zh-CN"/>
              </w:rPr>
              <w:t xml:space="preserve"> 市场价格（零陵区步步高、卜蜂莲花、建都超市</w:t>
            </w:r>
            <w:r>
              <w:rPr>
                <w:rFonts w:hint="eastAsia" w:asciiTheme="minorEastAsia" w:hAnsiTheme="minorEastAsia" w:eastAsiaTheme="minorEastAsia"/>
                <w:kern w:val="0"/>
                <w:lang w:val="en-US" w:eastAsia="zh-CN"/>
              </w:rPr>
              <w:t>挂牌价</w:t>
            </w:r>
            <w:r>
              <w:rPr>
                <w:rFonts w:hint="eastAsia" w:asciiTheme="minorEastAsia" w:hAnsiTheme="minorEastAsia" w:eastAsiaTheme="minorEastAsia"/>
                <w:szCs w:val="21"/>
                <w:u w:val="none"/>
                <w:lang w:val="en-US" w:eastAsia="zh-CN"/>
              </w:rPr>
              <w:t>的平均价）的100%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第13.8款</w:t>
            </w:r>
          </w:p>
        </w:tc>
        <w:tc>
          <w:tcPr>
            <w:tcW w:w="2693" w:type="dxa"/>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投标报价的其他要求</w:t>
            </w:r>
          </w:p>
        </w:tc>
        <w:tc>
          <w:tcPr>
            <w:tcW w:w="4678" w:type="dxa"/>
            <w:vAlign w:val="center"/>
          </w:tcPr>
          <w:p>
            <w:pPr>
              <w:adjustRightInd w:val="0"/>
              <w:snapToGrid w:val="0"/>
              <w:spacing w:line="360" w:lineRule="auto"/>
              <w:ind w:left="105" w:hanging="105" w:hangingChars="50"/>
              <w:jc w:val="left"/>
              <w:rPr>
                <w:rFonts w:hint="default" w:asciiTheme="minorEastAsia" w:hAnsiTheme="minorEastAsia" w:eastAsiaTheme="minorEastAsia"/>
                <w:szCs w:val="21"/>
                <w:u w:val="none"/>
                <w:lang w:val="en-US" w:eastAsia="zh-CN"/>
              </w:rPr>
            </w:pPr>
            <w:r>
              <w:rPr>
                <w:rFonts w:hint="eastAsia" w:asciiTheme="minorEastAsia" w:hAnsiTheme="minorEastAsia" w:eastAsiaTheme="minorEastAsia"/>
                <w:szCs w:val="21"/>
                <w:u w:val="none"/>
                <w:lang w:val="en-US" w:eastAsia="zh-CN"/>
              </w:rPr>
              <w:t xml:space="preserve"> 本项目投标报价按四部分报价，其中预包装食品类占价格权值的42%，果蔬类占价格权值的35%，家禽、水海产品类占价格权值的13%，家畜类占价格权值的10%。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第14.1款</w:t>
            </w:r>
          </w:p>
        </w:tc>
        <w:tc>
          <w:tcPr>
            <w:tcW w:w="2693" w:type="dxa"/>
            <w:vAlign w:val="center"/>
          </w:tcPr>
          <w:p>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szCs w:val="21"/>
              </w:rPr>
              <w:t>投标人应提供资格审查资料</w:t>
            </w:r>
          </w:p>
        </w:tc>
        <w:tc>
          <w:tcPr>
            <w:tcW w:w="4678" w:type="dxa"/>
            <w:vAlign w:val="center"/>
          </w:tcPr>
          <w:p>
            <w:pPr>
              <w:adjustRightInd w:val="0"/>
              <w:snapToGrid w:val="0"/>
              <w:spacing w:line="360" w:lineRule="auto"/>
              <w:rPr>
                <w:rFonts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基本资格证明资料:</w:t>
            </w:r>
          </w:p>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w:t>
            </w:r>
            <w:bookmarkStart w:id="40" w:name="EBe6798c18a7884e6096e77c86b7e43b18"/>
            <w:r>
              <w:rPr>
                <w:rFonts w:hint="eastAsia" w:asciiTheme="minorEastAsia" w:hAnsiTheme="minorEastAsia" w:eastAsiaTheme="minorEastAsia"/>
                <w:szCs w:val="21"/>
                <w:lang w:val="en-US" w:eastAsia="zh-CN"/>
              </w:rPr>
              <w:t>投标人法人营业执照副本复印件或合伙企业营业执照副本或事业单位法人证书复印件或自然人身份证明复印件;</w:t>
            </w:r>
            <w:bookmarkEnd w:id="40"/>
          </w:p>
          <w:p>
            <w:pPr>
              <w:adjustRightInd w:val="0"/>
              <w:snapToGrid w:val="0"/>
              <w:spacing w:line="360" w:lineRule="auto"/>
              <w:rPr>
                <w:rFonts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w:t>
            </w:r>
            <w:bookmarkStart w:id="41" w:name="EB06fe846ff8864e15ab35af7737b74ef5"/>
            <w:r>
              <w:rPr>
                <w:rFonts w:hint="eastAsia" w:asciiTheme="minorEastAsia" w:hAnsiTheme="minorEastAsia" w:eastAsiaTheme="minorEastAsia"/>
                <w:szCs w:val="21"/>
                <w:lang w:val="en-US" w:eastAsia="zh-CN"/>
              </w:rPr>
              <w:t>法定代表人或合伙执行人授权委托书及双方身份证复印件,自然人投标可不提交；</w:t>
            </w:r>
            <w:bookmarkEnd w:id="41"/>
          </w:p>
          <w:p>
            <w:pPr>
              <w:adjustRightInd w:val="0"/>
              <w:snapToGrid w:val="0"/>
              <w:spacing w:line="360" w:lineRule="auto"/>
              <w:rPr>
                <w:rFonts w:hint="default" w:asciiTheme="minorEastAsia" w:hAnsiTheme="minorEastAsia" w:eastAsiaTheme="minorEastAsia"/>
                <w:szCs w:val="21"/>
                <w:lang w:val="en-US" w:eastAsia="zh-CN"/>
              </w:rPr>
            </w:pPr>
            <w:bookmarkStart w:id="42" w:name="EB03ef4397ee264c8a81d9295b2a32ae01"/>
            <w:r>
              <w:rPr>
                <w:rFonts w:hint="eastAsia" w:asciiTheme="minorEastAsia" w:hAnsiTheme="minorEastAsia" w:eastAsiaTheme="minorEastAsia"/>
                <w:szCs w:val="21"/>
                <w:lang w:val="en-US" w:eastAsia="zh-CN"/>
              </w:rPr>
              <w:t>3、投标人资格声明</w:t>
            </w:r>
            <w:bookmarkEnd w:id="42"/>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第14.1(3)项</w:t>
            </w:r>
          </w:p>
        </w:tc>
        <w:tc>
          <w:tcPr>
            <w:tcW w:w="2693" w:type="dxa"/>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特定资格条件应提供的资格审查资料</w:t>
            </w:r>
          </w:p>
        </w:tc>
        <w:tc>
          <w:tcPr>
            <w:tcW w:w="4678" w:type="dxa"/>
            <w:vAlign w:val="center"/>
          </w:tcPr>
          <w:p>
            <w:pPr>
              <w:adjustRightInd w:val="0"/>
              <w:snapToGrid w:val="0"/>
              <w:spacing w:line="360" w:lineRule="auto"/>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特定资格证明材料：</w:t>
            </w:r>
          </w:p>
          <w:p>
            <w:pPr>
              <w:numPr>
                <w:ilvl w:val="0"/>
                <w:numId w:val="1"/>
              </w:numPr>
              <w:adjustRightInd w:val="0"/>
              <w:snapToGrid w:val="0"/>
              <w:spacing w:line="360" w:lineRule="auto"/>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营业执照</w:t>
            </w:r>
          </w:p>
          <w:p>
            <w:pPr>
              <w:numPr>
                <w:ilvl w:val="0"/>
                <w:numId w:val="1"/>
              </w:numPr>
              <w:adjustRightInd w:val="0"/>
              <w:snapToGrid w:val="0"/>
              <w:spacing w:line="360" w:lineRule="auto"/>
              <w:rPr>
                <w:rFonts w:hint="default" w:asciiTheme="minorEastAsia" w:hAnsiTheme="minorEastAsia" w:eastAsiaTheme="minorEastAsia"/>
                <w:color w:val="000000" w:themeColor="text1"/>
                <w:szCs w:val="21"/>
                <w:lang w:val="en-US" w:eastAsia="zh-CN"/>
                <w14:textFill>
                  <w14:solidFill>
                    <w14:schemeClr w14:val="tx1"/>
                  </w14:solidFill>
                </w14:textFill>
              </w:rPr>
            </w:pPr>
            <w:r>
              <w:rPr>
                <w:rFonts w:hint="default" w:asciiTheme="minorEastAsia" w:hAnsiTheme="minorEastAsia" w:eastAsiaTheme="minorEastAsia"/>
                <w:color w:val="000000" w:themeColor="text1"/>
                <w:szCs w:val="21"/>
                <w:lang w:val="en-US" w:eastAsia="zh-CN"/>
                <w14:textFill>
                  <w14:solidFill>
                    <w14:schemeClr w14:val="tx1"/>
                  </w14:solidFill>
                </w14:textFill>
              </w:rPr>
              <w:t>食品流通许可证</w:t>
            </w:r>
          </w:p>
          <w:p>
            <w:pPr>
              <w:adjustRightInd w:val="0"/>
              <w:snapToGrid w:val="0"/>
              <w:spacing w:line="360" w:lineRule="auto"/>
              <w:rPr>
                <w:rFonts w:asciiTheme="minorEastAsia" w:hAnsiTheme="minorEastAsia" w:eastAsiaTheme="minorEastAsia"/>
                <w:color w:val="FF0000"/>
                <w:szCs w:val="21"/>
              </w:rPr>
            </w:pP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default" w:asciiTheme="minorEastAsia" w:hAnsiTheme="minorEastAsia" w:eastAsiaTheme="minorEastAsia"/>
                <w:color w:val="000000" w:themeColor="text1"/>
                <w:szCs w:val="21"/>
                <w:lang w:val="en-US" w:eastAsia="zh-CN"/>
                <w14:textFill>
                  <w14:solidFill>
                    <w14:schemeClr w14:val="tx1"/>
                  </w14:solidFill>
                </w14:textFill>
              </w:rPr>
              <w:t>食品经营许可证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第16.1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bCs/>
                <w:szCs w:val="21"/>
              </w:rPr>
            </w:pPr>
            <w:r>
              <w:rPr>
                <w:rFonts w:hint="eastAsia" w:asciiTheme="minorEastAsia" w:hAnsiTheme="minorEastAsia" w:eastAsiaTheme="minorEastAsia"/>
                <w:bCs/>
                <w:szCs w:val="21"/>
              </w:rPr>
              <w:t>投标有效期</w:t>
            </w:r>
          </w:p>
        </w:tc>
        <w:tc>
          <w:tcPr>
            <w:tcW w:w="4678" w:type="dxa"/>
            <w:vAlign w:val="center"/>
          </w:tcPr>
          <w:p>
            <w:pPr>
              <w:adjustRightInd w:val="0"/>
              <w:snapToGrid w:val="0"/>
              <w:spacing w:line="360" w:lineRule="auto"/>
              <w:rPr>
                <w:rFonts w:asciiTheme="minorEastAsia" w:hAnsiTheme="minorEastAsia" w:eastAsiaTheme="minorEastAsia"/>
                <w:bCs/>
                <w:szCs w:val="21"/>
              </w:rPr>
            </w:pPr>
            <w:bookmarkStart w:id="43" w:name="EB7e7018e2ce044caf9520af6cef574e02"/>
            <w:r>
              <w:rPr>
                <w:rFonts w:hint="eastAsia" w:asciiTheme="minorEastAsia" w:hAnsiTheme="minorEastAsia" w:eastAsiaTheme="minorEastAsia"/>
                <w:bCs/>
                <w:szCs w:val="21"/>
                <w:lang w:val="en-US" w:eastAsia="zh-CN"/>
              </w:rPr>
              <w:t>90</w:t>
            </w:r>
            <w:bookmarkEnd w:id="43"/>
            <w:r>
              <w:rPr>
                <w:rFonts w:hint="eastAsia" w:asciiTheme="minorEastAsia" w:hAnsiTheme="minorEastAsia" w:eastAsiaTheme="minorEastAsia"/>
                <w:bCs/>
                <w:szCs w:val="21"/>
                <w:lang w:val="en-US" w:eastAsia="zh-CN"/>
              </w:rPr>
              <w:t>日（日历日）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第17.1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ind w:left="-533" w:leftChars="-254" w:firstLine="533" w:firstLineChars="254"/>
              <w:jc w:val="left"/>
              <w:rPr>
                <w:rFonts w:asciiTheme="minorEastAsia" w:hAnsiTheme="minorEastAsia" w:eastAsiaTheme="minorEastAsia"/>
                <w:szCs w:val="21"/>
              </w:rPr>
            </w:pPr>
            <w:r>
              <w:rPr>
                <w:rFonts w:hint="eastAsia" w:asciiTheme="minorEastAsia" w:hAnsiTheme="minorEastAsia" w:eastAsiaTheme="minorEastAsia"/>
                <w:szCs w:val="21"/>
              </w:rPr>
              <w:t>投标保证金</w:t>
            </w:r>
          </w:p>
        </w:tc>
        <w:tc>
          <w:tcPr>
            <w:tcW w:w="4678" w:type="dxa"/>
            <w:vAlign w:val="center"/>
          </w:tcPr>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rPr>
            </w:pPr>
            <w:r>
              <w:rPr>
                <w:rFonts w:hint="eastAsia"/>
              </w:rPr>
              <w:t>□ 不要求提供</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rPr>
            </w:pPr>
            <w:r>
              <w:rPr>
                <w:rFonts w:hint="eastAsia"/>
              </w:rPr>
              <w:t>☑ 要求提供</w:t>
            </w:r>
          </w:p>
          <w:p>
            <w:pPr>
              <w:keepNext w:val="0"/>
              <w:keepLines w:val="0"/>
              <w:pageBreakBefore w:val="0"/>
              <w:kinsoku/>
              <w:wordWrap/>
              <w:overflowPunct/>
              <w:topLinePunct w:val="0"/>
              <w:autoSpaceDE/>
              <w:autoSpaceDN/>
              <w:bidi w:val="0"/>
              <w:adjustRightInd w:val="0"/>
              <w:snapToGrid w:val="0"/>
              <w:spacing w:line="336" w:lineRule="auto"/>
              <w:jc w:val="left"/>
              <w:textAlignment w:val="auto"/>
              <w:rPr>
                <w:rFonts w:hint="eastAsia"/>
              </w:rPr>
            </w:pPr>
            <w:r>
              <w:rPr>
                <w:rFonts w:hint="eastAsia"/>
              </w:rPr>
              <w:t>1、投标保证金数额：人民币</w:t>
            </w:r>
            <w:r>
              <w:rPr>
                <w:rFonts w:hint="eastAsia"/>
                <w:lang w:val="en-US" w:eastAsia="zh-CN"/>
              </w:rPr>
              <w:t>伍万</w:t>
            </w:r>
            <w:r>
              <w:rPr>
                <w:rFonts w:hint="eastAsia"/>
              </w:rPr>
              <w:t>元整（¥</w:t>
            </w:r>
            <w:r>
              <w:rPr>
                <w:rFonts w:hint="eastAsia"/>
                <w:lang w:val="en-US" w:eastAsia="zh-CN"/>
              </w:rPr>
              <w:t>50</w:t>
            </w:r>
            <w:r>
              <w:rPr>
                <w:rFonts w:hint="eastAsia"/>
              </w:rPr>
              <w:t>000.00）</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rPr>
            </w:pPr>
            <w:r>
              <w:rPr>
                <w:rFonts w:hint="eastAsia"/>
              </w:rPr>
              <w:t>2、缴纳方式：保证金要求以银行电汇、转帐等非现金方式提交,要求在投标时间截止前从各投标单位基本账户转帐并到帐投标保证金托管账户，在进账单用途栏或备注栏中注明所投标的项目名称（或项目编号），否则将被认定为没有提交投标保证金。</w:t>
            </w:r>
          </w:p>
          <w:p>
            <w:pPr>
              <w:keepNext w:val="0"/>
              <w:keepLines w:val="0"/>
              <w:pageBreakBefore w:val="0"/>
              <w:kinsoku/>
              <w:wordWrap/>
              <w:overflowPunct/>
              <w:topLinePunct w:val="0"/>
              <w:autoSpaceDE/>
              <w:autoSpaceDN/>
              <w:bidi w:val="0"/>
              <w:adjustRightInd w:val="0"/>
              <w:snapToGrid w:val="0"/>
              <w:spacing w:line="336" w:lineRule="auto"/>
              <w:textAlignment w:val="auto"/>
            </w:pPr>
            <w:r>
              <w:rPr>
                <w:rFonts w:hint="eastAsia"/>
              </w:rPr>
              <w:t>3、保证金账号：</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宋体" w:hAnsi="宋体"/>
                <w:szCs w:val="21"/>
              </w:rPr>
            </w:pPr>
            <w:r>
              <w:rPr>
                <w:rFonts w:hint="eastAsia" w:ascii="宋体" w:hAnsi="宋体"/>
                <w:szCs w:val="21"/>
              </w:rPr>
              <w:t>公司名称：天鉴国际工程管理有限公司永州分公司</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宋体" w:hAnsi="宋体"/>
                <w:szCs w:val="21"/>
              </w:rPr>
            </w:pPr>
            <w:r>
              <w:rPr>
                <w:rFonts w:hint="eastAsia" w:ascii="宋体" w:hAnsi="宋体"/>
                <w:szCs w:val="21"/>
              </w:rPr>
              <w:t>开户行：中国建设银行永州市湘永路支行</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宋体" w:hAnsi="宋体"/>
                <w:szCs w:val="21"/>
              </w:rPr>
            </w:pPr>
            <w:r>
              <w:rPr>
                <w:rFonts w:hint="eastAsia" w:ascii="宋体" w:hAnsi="宋体"/>
                <w:szCs w:val="21"/>
              </w:rPr>
              <w:t>账户：4305 0171 4836 0000 0070</w:t>
            </w:r>
          </w:p>
          <w:p>
            <w:pPr>
              <w:adjustRightInd w:val="0"/>
              <w:snapToGrid w:val="0"/>
              <w:spacing w:line="420" w:lineRule="exact"/>
              <w:rPr>
                <w:rFonts w:asciiTheme="minorEastAsia" w:hAnsiTheme="minorEastAsia" w:eastAsiaTheme="minorEastAsia"/>
                <w:szCs w:val="21"/>
              </w:rPr>
            </w:pPr>
            <w:r>
              <w:rPr>
                <w:rFonts w:hint="eastAsia" w:ascii="宋体" w:hAnsi="宋体" w:cs="宋体"/>
                <w:kern w:val="0"/>
                <w:sz w:val="24"/>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第18.1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bCs/>
                <w:szCs w:val="21"/>
              </w:rPr>
              <w:t>分包</w:t>
            </w:r>
          </w:p>
        </w:tc>
        <w:tc>
          <w:tcPr>
            <w:tcW w:w="4678" w:type="dxa"/>
            <w:vAlign w:val="center"/>
          </w:tcPr>
          <w:p>
            <w:pPr>
              <w:adjustRightInd w:val="0"/>
              <w:snapToGrid w:val="0"/>
              <w:spacing w:line="360" w:lineRule="auto"/>
              <w:rPr>
                <w:rFonts w:asciiTheme="minorEastAsia" w:hAnsiTheme="minorEastAsia" w:eastAsiaTheme="minorEastAsia"/>
                <w:b/>
                <w:bCs/>
                <w:szCs w:val="21"/>
              </w:rPr>
            </w:pPr>
            <w:r>
              <w:rPr>
                <w:rFonts w:hint="eastAsia" w:cs="Times New Roman" w:asciiTheme="minorEastAsia" w:hAnsiTheme="minorEastAsia" w:eastAsiaTheme="minorEastAsia"/>
                <w:szCs w:val="21"/>
                <w:lang w:val="en-US" w:eastAsia="zh-CN"/>
              </w:rPr>
              <w:t>分包要求:</w:t>
            </w:r>
            <w:bookmarkStart w:id="44" w:name="EB6ccf556308544a6faa2820c03e88a21a"/>
            <w:r>
              <w:rPr>
                <w:rFonts w:hint="eastAsia" w:cs="Times New Roman" w:asciiTheme="minorEastAsia" w:hAnsiTheme="minorEastAsia" w:eastAsiaTheme="minorEastAsia"/>
                <w:szCs w:val="21"/>
                <w:lang w:val="en-US" w:eastAsia="zh-CN"/>
              </w:rPr>
              <w:t>不允许分包、转包</w:t>
            </w:r>
            <w:bookmarkEnd w:id="44"/>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第19.1款</w:t>
            </w:r>
          </w:p>
        </w:tc>
        <w:tc>
          <w:tcPr>
            <w:tcW w:w="2693" w:type="dxa"/>
            <w:vAlign w:val="center"/>
          </w:tcPr>
          <w:p>
            <w:pPr>
              <w:adjustRightInd w:val="0"/>
              <w:snapToGrid w:val="0"/>
              <w:spacing w:line="360" w:lineRule="auto"/>
              <w:jc w:val="left"/>
              <w:rPr>
                <w:rFonts w:asciiTheme="minorEastAsia" w:hAnsiTheme="minorEastAsia" w:eastAsiaTheme="minorEastAsia"/>
                <w:szCs w:val="21"/>
                <w:u w:val="none"/>
              </w:rPr>
            </w:pPr>
            <w:r>
              <w:rPr>
                <w:rFonts w:hint="eastAsia" w:asciiTheme="minorEastAsia" w:hAnsiTheme="minorEastAsia" w:eastAsiaTheme="minorEastAsia"/>
                <w:szCs w:val="21"/>
                <w:u w:val="none"/>
              </w:rPr>
              <w:t>投标文件副本份数</w:t>
            </w:r>
          </w:p>
        </w:tc>
        <w:tc>
          <w:tcPr>
            <w:tcW w:w="4678" w:type="dxa"/>
            <w:vAlign w:val="center"/>
          </w:tcPr>
          <w:p>
            <w:pPr>
              <w:adjustRightInd w:val="0"/>
              <w:snapToGrid w:val="0"/>
              <w:spacing w:line="360" w:lineRule="auto"/>
              <w:rPr>
                <w:rFonts w:hint="default" w:asciiTheme="minorEastAsia" w:hAnsiTheme="minorEastAsia" w:eastAsiaTheme="minorEastAsia"/>
                <w:szCs w:val="21"/>
                <w:u w:val="none"/>
                <w:lang w:val="en-US" w:eastAsia="zh-CN"/>
              </w:rPr>
            </w:pPr>
            <w:r>
              <w:rPr>
                <w:rFonts w:hint="eastAsia" w:asciiTheme="minorEastAsia" w:hAnsiTheme="minorEastAsia" w:eastAsiaTheme="minorEastAsia"/>
                <w:szCs w:val="21"/>
                <w:u w:val="none"/>
                <w:lang w:val="en-US" w:eastAsia="zh-CN"/>
              </w:rPr>
              <w:t>肆份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
                <w:szCs w:val="21"/>
              </w:rPr>
              <w:t>四、投标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第21.1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投标截止时间及投标地点</w:t>
            </w:r>
          </w:p>
        </w:tc>
        <w:tc>
          <w:tcPr>
            <w:tcW w:w="4678" w:type="dxa"/>
            <w:vAlign w:val="center"/>
          </w:tcPr>
          <w:p>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bCs/>
                <w:szCs w:val="21"/>
                <w:lang w:val="en-US"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五、开标、资格审查和评标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第24.1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bCs/>
                <w:szCs w:val="21"/>
              </w:rPr>
              <w:t>开标地点</w:t>
            </w:r>
            <w:r>
              <w:rPr>
                <w:rFonts w:hint="eastAsia" w:asciiTheme="minorEastAsia" w:hAnsiTheme="minorEastAsia" w:eastAsiaTheme="minorEastAsia"/>
                <w:szCs w:val="21"/>
              </w:rPr>
              <w:t xml:space="preserve"> </w:t>
            </w:r>
          </w:p>
        </w:tc>
        <w:tc>
          <w:tcPr>
            <w:tcW w:w="4678" w:type="dxa"/>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天鉴国际工程管理有限公司6楼指定开标大厅（湖南省长沙市雨花区金海路128号天鉴集团6楼）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第24.2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需要宣布的其他内容</w:t>
            </w:r>
          </w:p>
        </w:tc>
        <w:tc>
          <w:tcPr>
            <w:tcW w:w="4678" w:type="dxa"/>
            <w:vAlign w:val="center"/>
          </w:tcPr>
          <w:p>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六、中标信息公布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第28.2</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678" w:type="dxa"/>
            <w:vAlign w:val="center"/>
          </w:tcPr>
          <w:p>
            <w:pPr>
              <w:adjustRightInd w:val="0"/>
              <w:snapToGrid w:val="0"/>
              <w:spacing w:line="360" w:lineRule="auto"/>
              <w:rPr>
                <w:rFonts w:asciiTheme="minorEastAsia" w:hAnsiTheme="minorEastAsia" w:eastAsiaTheme="minorEastAsia"/>
                <w:color w:val="FF0000"/>
                <w:szCs w:val="21"/>
                <w:highlight w:val="none"/>
              </w:rPr>
            </w:pPr>
            <w:bookmarkStart w:id="45" w:name="EB0c849da51f0f438890ae30f53772e2e7"/>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评审后综合总得分由高到低顺序排列，得分相同的，按投标报价由低到高顺序排列；得分且投标报价相同的，按技术要求得分高低顺序排列。</w:t>
            </w:r>
            <w:bookmarkEnd w:id="45"/>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本项目综合得分排名前三的投标人为本项目的中标候选供应商，</w:t>
            </w:r>
            <w:r>
              <w:rPr>
                <w:rFonts w:hint="eastAsia" w:ascii="宋体" w:hAnsi="宋体" w:eastAsia="宋体" w:cs="宋体"/>
                <w:color w:val="000000" w:themeColor="text1"/>
                <w:kern w:val="0"/>
                <w:sz w:val="21"/>
                <w:szCs w:val="22"/>
                <w:highlight w:val="white"/>
                <w:lang w:val="en-US" w:eastAsia="zh-CN" w:bidi="ar-SA"/>
                <w14:textFill>
                  <w14:solidFill>
                    <w14:schemeClr w14:val="tx1"/>
                  </w14:solidFill>
                </w14:textFill>
              </w:rPr>
              <w:t>共同承担本项目的物资配送工作</w:t>
            </w:r>
            <w:r>
              <w:rPr>
                <w:rFonts w:hint="eastAsia" w:ascii="宋体" w:hAnsi="宋体" w:cs="宋体"/>
                <w:color w:val="000000" w:themeColor="text1"/>
                <w:kern w:val="0"/>
                <w:sz w:val="21"/>
                <w:szCs w:val="22"/>
                <w:highlight w:val="white"/>
                <w:lang w:val="en-US" w:eastAsia="zh-CN" w:bidi="ar-SA"/>
                <w14:textFill>
                  <w14:solidFill>
                    <w14:schemeClr w14:val="tx1"/>
                  </w14:solidFill>
                </w14:textFill>
              </w:rPr>
              <w:t>，食堂承包商在中标供应商中自主下单</w:t>
            </w:r>
            <w:r>
              <w:rPr>
                <w:rFonts w:hint="eastAsia" w:ascii="宋体" w:hAnsi="宋体" w:eastAsia="宋体" w:cs="宋体"/>
                <w:color w:val="000000" w:themeColor="text1"/>
                <w:kern w:val="0"/>
                <w:sz w:val="21"/>
                <w:szCs w:val="22"/>
                <w:highlight w:val="white"/>
                <w:lang w:val="en-US" w:eastAsia="zh-CN" w:bidi="ar-SA"/>
                <w14:textFill>
                  <w14:solidFill>
                    <w14:schemeClr w14:val="tx1"/>
                  </w14:solidFill>
                </w14:textFill>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第29.3</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接收质疑函的联系部门、联系电话和通讯地址</w:t>
            </w:r>
          </w:p>
        </w:tc>
        <w:tc>
          <w:tcPr>
            <w:tcW w:w="4678" w:type="dxa"/>
            <w:vAlign w:val="center"/>
          </w:tcPr>
          <w:p>
            <w:pPr>
              <w:adjustRightInd w:val="0"/>
              <w:snapToGrid w:val="0"/>
              <w:spacing w:line="360" w:lineRule="auto"/>
              <w:rPr>
                <w:rFonts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联系部门：</w:t>
            </w:r>
            <w:bookmarkStart w:id="46" w:name="EB43ed9eb943a94719a7c08f98d494c046"/>
            <w:r>
              <w:rPr>
                <w:rFonts w:hint="eastAsia" w:asciiTheme="minorEastAsia" w:hAnsiTheme="minorEastAsia" w:eastAsiaTheme="minorEastAsia"/>
                <w:szCs w:val="21"/>
                <w:lang w:val="en-US" w:eastAsia="zh-CN"/>
              </w:rPr>
              <w:t>天鉴国际工程管理有限公司</w:t>
            </w:r>
            <w:bookmarkEnd w:id="46"/>
          </w:p>
          <w:p>
            <w:pPr>
              <w:adjustRightInd w:val="0"/>
              <w:snapToGrid w:val="0"/>
              <w:spacing w:line="360" w:lineRule="auto"/>
              <w:rPr>
                <w:rFonts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联系电话：</w:t>
            </w:r>
            <w:bookmarkStart w:id="47" w:name="EBe5a264fbc70644f3a9288f893fc60524"/>
            <w:r>
              <w:rPr>
                <w:rFonts w:hint="eastAsia" w:asciiTheme="minorEastAsia" w:hAnsiTheme="minorEastAsia" w:eastAsiaTheme="minorEastAsia"/>
                <w:szCs w:val="21"/>
                <w:lang w:val="en-US" w:eastAsia="zh-CN"/>
              </w:rPr>
              <w:t>13187101991</w:t>
            </w:r>
            <w:bookmarkEnd w:id="47"/>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通讯地址：</w:t>
            </w:r>
            <w:bookmarkStart w:id="48" w:name="EBf2b96a018f6e4e918ce38a30da44669e"/>
            <w:r>
              <w:rPr>
                <w:rFonts w:hint="eastAsia" w:asciiTheme="minorEastAsia" w:hAnsiTheme="minorEastAsia" w:eastAsiaTheme="minorEastAsia"/>
                <w:szCs w:val="21"/>
                <w:lang w:val="en-US" w:eastAsia="zh-CN"/>
              </w:rPr>
              <w:t>永州市冷水滩区育才路海关大楼内侧门二楼</w:t>
            </w:r>
            <w:bookmarkEnd w:id="48"/>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七、合同签订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第31.1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履约担保</w:t>
            </w:r>
          </w:p>
        </w:tc>
        <w:tc>
          <w:tcPr>
            <w:tcW w:w="4678" w:type="dxa"/>
            <w:vAlign w:val="center"/>
          </w:tcPr>
          <w:p>
            <w:pPr>
              <w:adjustRightInd w:val="0"/>
              <w:snapToGrid w:val="0"/>
              <w:spacing w:line="360" w:lineRule="auto"/>
              <w:rPr>
                <w:rFonts w:hint="default"/>
                <w:b w:val="0"/>
                <w:bCs w:val="0"/>
                <w:color w:val="000000" w:themeColor="text1"/>
                <w:highlight w:val="none"/>
                <w:lang w:val="en-US" w:eastAsia="zh-CN"/>
                <w14:textFill>
                  <w14:solidFill>
                    <w14:schemeClr w14:val="tx1"/>
                  </w14:solidFill>
                </w14:textFill>
              </w:rPr>
            </w:pPr>
            <w:bookmarkStart w:id="49" w:name="EB896790bc9228452c8dfaa0c388fe5082"/>
            <w:r>
              <w:rPr>
                <w:rFonts w:hint="eastAsia"/>
                <w:lang w:val="en-US" w:eastAsia="zh-CN"/>
              </w:rPr>
              <w:t>☑</w:t>
            </w:r>
            <w:bookmarkEnd w:id="49"/>
            <w:r>
              <w:rPr>
                <w:rFonts w:hint="eastAsia"/>
                <w:lang w:val="en-US" w:eastAsia="zh-CN"/>
              </w:rPr>
              <w:t>需要。</w:t>
            </w:r>
            <w:r>
              <w:rPr>
                <w:rFonts w:hint="eastAsia"/>
                <w:b w:val="0"/>
                <w:bCs w:val="0"/>
                <w:color w:val="000000" w:themeColor="text1"/>
                <w:highlight w:val="none"/>
                <w:lang w:val="en-US" w:eastAsia="zh-CN"/>
                <w14:textFill>
                  <w14:solidFill>
                    <w14:schemeClr w14:val="tx1"/>
                  </w14:solidFill>
                </w14:textFill>
              </w:rPr>
              <w:t>中标单位须向采购人缴纳伍万元的履约保证金，合同期满后，若无违反合同条款行为则无息退还。若有违反合同条款行为的，则按合同约定在履约保证金中扣除相应赔付款额后，余款无息退还。若有不足扣款的金额，由中标供应商补足。中标后由中标人的投标保证金直接转为履约保证金</w:t>
            </w:r>
          </w:p>
          <w:p>
            <w:pPr>
              <w:adjustRightInd w:val="0"/>
              <w:snapToGrid w:val="0"/>
              <w:spacing w:line="360" w:lineRule="auto"/>
              <w:rPr>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中标人应无条件接受有关监管部门对供货产品质量、价格等不定期抽查和检查，如违反承诺自愿接受处罚，情节严重的，采购人有权终止服务合同并没收其全部履约保证金。</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20" w:firstLineChars="200"/>
              <w:textAlignment w:val="auto"/>
            </w:pPr>
            <w:bookmarkStart w:id="50" w:name="EB973cf98f93de4d359c41eae0a833ac6e"/>
            <w:r>
              <w:rPr>
                <w:rFonts w:hint="eastAsia"/>
                <w:lang w:val="en-US" w:eastAsia="zh-CN"/>
              </w:rPr>
              <w:t>□</w:t>
            </w:r>
            <w:bookmarkEnd w:id="50"/>
            <w:r>
              <w:rPr>
                <w:lang w:val="en-US" w:eastAsia="zh-CN"/>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九、其他规定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第35.1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招标代理服务费</w:t>
            </w:r>
          </w:p>
        </w:tc>
        <w:tc>
          <w:tcPr>
            <w:tcW w:w="4678" w:type="dxa"/>
            <w:vAlign w:val="center"/>
          </w:tcPr>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本项目整体代理服务费为壹万伍仟元整，中标单位在领取中标通知书时需向招标代理机构缴纳招标代理服务费。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第36.1</w:t>
            </w:r>
            <w:r>
              <w:rPr>
                <w:rFonts w:hint="eastAsia" w:cs="宋体" w:asciiTheme="minorEastAsia" w:hAnsiTheme="minorEastAsia" w:eastAsiaTheme="minorEastAsia"/>
                <w:kern w:val="0"/>
                <w:szCs w:val="21"/>
                <w:lang w:val="zh-CN"/>
              </w:rPr>
              <w:t>款</w:t>
            </w:r>
          </w:p>
        </w:tc>
        <w:tc>
          <w:tcPr>
            <w:tcW w:w="2693" w:type="dxa"/>
            <w:vAlign w:val="center"/>
          </w:tcPr>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其他规定</w:t>
            </w:r>
          </w:p>
        </w:tc>
        <w:tc>
          <w:tcPr>
            <w:tcW w:w="4678" w:type="dxa"/>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1、信用信息查询的查询渠道：信用中国网站（www.creditchina.gov.cn）、中国政府采购网（www.ccgp.gov.cn）、湖南信用网（www.hncredit.gov.cn）和湖南省政府采购网（www.ccgp-hunan.gov.cn）。</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2、信用信息查询的截止时点：至本项目投标截止时间止。</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3、信用信息查询记录的具体方式：由采购人或采购代理机构在规定的查询渠道进行查询。</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4、信用信息查询记录证据留存的具体方式：查询记录的网上打印件。</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5、信用信息的使用规则：留存备查。</w:t>
            </w:r>
          </w:p>
        </w:tc>
      </w:tr>
    </w:tbl>
    <w:p>
      <w:pPr>
        <w:adjustRightInd w:val="0"/>
        <w:snapToGrid w:val="0"/>
        <w:spacing w:line="360" w:lineRule="auto"/>
        <w:rPr>
          <w:rFonts w:ascii="宋体" w:hAnsi="宋体"/>
          <w:b/>
          <w:szCs w:val="21"/>
        </w:rPr>
      </w:pPr>
      <w:r>
        <w:rPr>
          <w:rFonts w:ascii="宋体" w:hAnsi="宋体"/>
          <w:b/>
          <w:szCs w:val="21"/>
        </w:rPr>
        <w:br w:type="page"/>
      </w:r>
    </w:p>
    <w:p>
      <w:pPr>
        <w:pStyle w:val="4"/>
        <w:adjustRightInd w:val="0"/>
        <w:snapToGrid w:val="0"/>
        <w:spacing w:before="156" w:beforeLines="50"/>
        <w:jc w:val="center"/>
        <w:rPr>
          <w:rFonts w:ascii="黑体" w:hAnsi="黑体" w:eastAsia="黑体"/>
          <w:sz w:val="28"/>
          <w:szCs w:val="28"/>
        </w:rPr>
      </w:pPr>
      <w:bookmarkStart w:id="51" w:name="_Toc20651195"/>
      <w:r>
        <w:rPr>
          <w:rFonts w:hint="eastAsia" w:ascii="黑体" w:hAnsi="黑体" w:eastAsia="黑体"/>
          <w:sz w:val="28"/>
          <w:szCs w:val="28"/>
        </w:rPr>
        <w:t>第二节 投标须知</w:t>
      </w:r>
      <w:bookmarkEnd w:id="51"/>
    </w:p>
    <w:p>
      <w:pPr>
        <w:pStyle w:val="5"/>
        <w:adjustRightInd w:val="0"/>
        <w:snapToGrid w:val="0"/>
        <w:spacing w:before="156" w:beforeLines="50" w:after="0" w:line="360" w:lineRule="auto"/>
        <w:jc w:val="center"/>
        <w:rPr>
          <w:rFonts w:ascii="黑体" w:hAnsi="黑体" w:eastAsia="黑体"/>
          <w:b w:val="0"/>
          <w:sz w:val="28"/>
          <w:szCs w:val="28"/>
        </w:rPr>
      </w:pPr>
      <w:bookmarkStart w:id="52" w:name="_Toc20651196"/>
      <w:r>
        <w:rPr>
          <w:rFonts w:hint="eastAsia" w:ascii="黑体" w:hAnsi="黑体" w:eastAsia="黑体"/>
          <w:sz w:val="28"/>
          <w:szCs w:val="28"/>
        </w:rPr>
        <w:t>一、总则</w:t>
      </w:r>
      <w:bookmarkEnd w:id="52"/>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 适用范围</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1.1本招标文件仅适用于本章第一节“投标须知前附表”（以下简称</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）中所叙述的采购项目。</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规定采购项目专门面向中小企业采购的，如投标人为非中小企业，其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 定义</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2.1采购项目联系人姓名和电话见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2.2采购人名称、地址、电话、联系人见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2.3采购代理机构名称、地址、电话、联系人见</w:t>
      </w:r>
      <w:r>
        <w:rPr>
          <w:rFonts w:hint="eastAsia" w:asciiTheme="minorEastAsia" w:hAnsiTheme="minorEastAsia" w:eastAsiaTheme="minorEastAsia"/>
          <w:b/>
          <w:szCs w:val="21"/>
        </w:rPr>
        <w:t>【投标须知前附表】。</w:t>
      </w:r>
    </w:p>
    <w:p>
      <w:pPr>
        <w:adjustRightInd w:val="0"/>
        <w:snapToGrid w:val="0"/>
        <w:spacing w:before="156" w:beforeLines="50" w:line="360" w:lineRule="auto"/>
        <w:ind w:firstLine="420" w:firstLineChars="200"/>
        <w:jc w:val="left"/>
        <w:rPr>
          <w:rFonts w:asciiTheme="minorEastAsia" w:hAnsiTheme="minorEastAsia" w:eastAsiaTheme="minorEastAsia"/>
          <w:b/>
          <w:szCs w:val="21"/>
        </w:rPr>
      </w:pPr>
      <w:r>
        <w:rPr>
          <w:rFonts w:hint="eastAsia" w:asciiTheme="minorEastAsia" w:hAnsiTheme="minorEastAsia" w:eastAsiaTheme="minorEastAsia"/>
          <w:szCs w:val="21"/>
        </w:rPr>
        <w:t>2.4投标人系指响应招标、参加投标竞争的法人、其他组织或自然人。</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szCs w:val="21"/>
        </w:rPr>
        <w:t>【投标须知前附表】</w:t>
      </w:r>
      <w:r>
        <w:rPr>
          <w:rFonts w:hint="eastAsia" w:cs="宋体" w:asciiTheme="minorEastAsia" w:hAnsiTheme="minorEastAsia" w:eastAsiaTheme="minorEastAsia"/>
          <w:kern w:val="0"/>
          <w:szCs w:val="21"/>
        </w:rPr>
        <w:t>另有规定外，采购项目</w:t>
      </w:r>
      <w:r>
        <w:rPr>
          <w:rFonts w:hint="eastAsia" w:cs="宋体" w:asciiTheme="minorEastAsia" w:hAnsiTheme="minorEastAsia" w:eastAsiaTheme="minorEastAsia"/>
          <w:b/>
          <w:kern w:val="0"/>
          <w:szCs w:val="21"/>
        </w:rPr>
        <w:t>拒绝进口产品参加投标</w:t>
      </w:r>
      <w:r>
        <w:rPr>
          <w:rFonts w:hint="eastAsia" w:cs="宋体" w:asciiTheme="minorEastAsia" w:hAnsiTheme="minorEastAsia" w:eastAsiaTheme="minorEastAsia"/>
          <w:kern w:val="0"/>
          <w:szCs w:val="21"/>
        </w:rPr>
        <w:t>。本款规定同意购买进口产品的，不限制满足招标文件要求的国内产品参与投标竞争。</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 投标人的资格要求</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3.1投标人应当符合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规定的投标人资格条件。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规定接受联合体形式投标的，投标人除应符合本章第3.1</w:t>
      </w:r>
      <w:r>
        <w:rPr>
          <w:rFonts w:hint="eastAsia" w:cs="宋体" w:asciiTheme="minorEastAsia" w:hAnsiTheme="minorEastAsia" w:eastAsiaTheme="minorEastAsia"/>
          <w:kern w:val="0"/>
          <w:szCs w:val="21"/>
          <w:lang w:val="zh-CN"/>
        </w:rPr>
        <w:t>款</w:t>
      </w:r>
      <w:r>
        <w:rPr>
          <w:rFonts w:hint="eastAsia" w:asciiTheme="minorEastAsia" w:hAnsiTheme="minorEastAsia" w:eastAsiaTheme="minorEastAsia"/>
          <w:szCs w:val="21"/>
        </w:rPr>
        <w:t xml:space="preserve">规定外，还应遵守以下规定： </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（l）联合体中有同类资质的供应商按照联合体分工承担相同工作的，应当按照资质等级较低的供应商确定资质等级。</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（2）联合体各方应按招标文件提供的格式签订联合体协议书，明确联合体牵头人和各方的权利义务、合同工作量比例；</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lang w:val="zh-CN"/>
        </w:rPr>
      </w:pPr>
      <w:r>
        <w:rPr>
          <w:rFonts w:hint="eastAsia" w:asciiTheme="minorEastAsia" w:hAnsiTheme="minorEastAsia" w:eastAsiaTheme="minorEastAsia"/>
          <w:szCs w:val="21"/>
        </w:rPr>
        <w:t>（3）联合体各方签订联合体协议书后，</w:t>
      </w:r>
      <w:r>
        <w:rPr>
          <w:rFonts w:hint="eastAsia" w:cs="宋体" w:asciiTheme="minorEastAsia" w:hAnsiTheme="minorEastAsia" w:eastAsiaTheme="minorEastAsia"/>
          <w:kern w:val="0"/>
          <w:szCs w:val="21"/>
          <w:lang w:val="zh-CN"/>
        </w:rPr>
        <w:t>不得再单独参加或者与其他投标人组成新的联合体参加同一合同项下的采购活动。</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 xml:space="preserve">4. 投标费用 </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4.1投标人应自行承担所有参与投标的相关费用，不论投标的结果如何，采购人、采购代理机构均无义务和责任承担这些费用。</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5．组织现场考察或者召开答疑会</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rPr>
        <w:t>5.1采购人、采购代理机构可以在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规定的招标文件提供期限截止后，组织已获取招标文件的潜在投标人现场考察或者召开开标前答疑会。</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5.2获取招标文件的潜在投标人应按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规定参加现场考察或者答疑会；如不参加，其风险由其自行承担。</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5.3潜在投标人现场考察或者参加答疑会的费用由自己承担，现场考察期间所发生的人身伤害及财产损失由自己负责。</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5.4采购人、采购代理机构不对投标人据此而做出的推论、理解和结论负责。投标人一旦中标，不得以任何借口，提出额外补偿，或延长合同期限的要求。</w:t>
      </w:r>
    </w:p>
    <w:p>
      <w:pPr>
        <w:pStyle w:val="5"/>
        <w:adjustRightInd w:val="0"/>
        <w:snapToGrid w:val="0"/>
        <w:spacing w:before="156" w:beforeLines="50" w:after="0" w:line="360" w:lineRule="auto"/>
        <w:jc w:val="center"/>
        <w:rPr>
          <w:rFonts w:ascii="黑体" w:hAnsi="黑体" w:eastAsia="黑体"/>
          <w:sz w:val="28"/>
          <w:szCs w:val="28"/>
        </w:rPr>
      </w:pPr>
      <w:bookmarkStart w:id="53" w:name="_Toc20651197"/>
      <w:r>
        <w:rPr>
          <w:rFonts w:hint="eastAsia" w:ascii="黑体" w:hAnsi="黑体" w:eastAsia="黑体"/>
          <w:sz w:val="28"/>
          <w:szCs w:val="28"/>
        </w:rPr>
        <w:t>二、招标文件</w:t>
      </w:r>
      <w:bookmarkEnd w:id="53"/>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6. 招标文件的构成</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6.1 招标文件共七章，各章内容如下：</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第一章 投标邀请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第二章 投标须知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第三章 资格审查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第四章 评标方法及标准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第五章 采购需求</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第六章 采购合同</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第七章 投标文件的组成</w:t>
      </w:r>
    </w:p>
    <w:p>
      <w:pPr>
        <w:adjustRightInd w:val="0"/>
        <w:snapToGrid w:val="0"/>
        <w:spacing w:before="156" w:beforeLines="50" w:line="360" w:lineRule="auto"/>
        <w:ind w:firstLine="420" w:firstLineChars="200"/>
        <w:jc w:val="left"/>
        <w:rPr>
          <w:rFonts w:cs="宋体" w:asciiTheme="minorEastAsia" w:hAnsiTheme="minorEastAsia" w:eastAsiaTheme="minorEastAsia"/>
          <w:b/>
          <w:szCs w:val="21"/>
        </w:rPr>
      </w:pPr>
      <w:r>
        <w:rPr>
          <w:rFonts w:hint="eastAsia" w:asciiTheme="minorEastAsia" w:hAnsiTheme="minorEastAsia" w:eastAsiaTheme="minorEastAsia"/>
          <w:szCs w:val="21"/>
        </w:rPr>
        <w:t>6.2采购人、采购代理机构在提交投标文件截止时间前</w:t>
      </w:r>
      <w:r>
        <w:rPr>
          <w:rFonts w:hint="eastAsia" w:cs="宋体" w:asciiTheme="minorEastAsia" w:hAnsiTheme="minorEastAsia" w:eastAsiaTheme="minorEastAsia"/>
          <w:szCs w:val="21"/>
        </w:rPr>
        <w:t>对招标文件所作的澄清或者修改，构成招标文件的组成部分。</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7．偏离与实质性响应</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7.1投标人应当按照招标文件的要求编制投标文件。投标文件应当对招标文件提出的要求和条件作出明确响应。</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7.2偏离是指投标文件不响应或者不满足招标文件提出的要求和条件，分为实质性偏离和非实质性偏离。</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b/>
        </w:rPr>
        <w:t>其投标无效</w:t>
      </w:r>
      <w:r>
        <w:rPr>
          <w:rFonts w:hint="eastAsia" w:asciiTheme="minorEastAsia" w:hAnsiTheme="minorEastAsia" w:eastAsiaTheme="minorEastAsia"/>
        </w:rPr>
        <w:t>。</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7.4投标</w:t>
      </w:r>
      <w:r>
        <w:rPr>
          <w:rFonts w:hint="eastAsia" w:asciiTheme="minorEastAsia" w:hAnsiTheme="minorEastAsia" w:eastAsiaTheme="minorEastAsia"/>
          <w:szCs w:val="21"/>
        </w:rPr>
        <w:t>文件偏离招标文件的非实质性要求和条件，为非实质性偏离。非实质性偏离的范围和幅度应当符合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的规定，</w:t>
      </w:r>
      <w:r>
        <w:rPr>
          <w:rFonts w:hint="eastAsia" w:asciiTheme="minorEastAsia" w:hAnsiTheme="minorEastAsia" w:eastAsiaTheme="minorEastAsia"/>
          <w:b/>
          <w:szCs w:val="21"/>
        </w:rPr>
        <w:t>否</w:t>
      </w:r>
      <w:r>
        <w:rPr>
          <w:rFonts w:hint="eastAsia" w:asciiTheme="minorEastAsia" w:hAnsiTheme="minorEastAsia" w:eastAsiaTheme="minorEastAsia"/>
          <w:b/>
        </w:rPr>
        <w:t>则投标无效</w:t>
      </w:r>
      <w:r>
        <w:rPr>
          <w:rFonts w:hint="eastAsia" w:asciiTheme="minorEastAsia" w:hAnsiTheme="minorEastAsia" w:eastAsiaTheme="minorEastAsia"/>
        </w:rPr>
        <w:t>。</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8. 询问</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8.1潜在投标人应仔细阅读和检查招标文件的全部内容。如有疑问，可以向采购人或者采购代理机构提出询问。</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9. 招标文件的澄清或者修改</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9.1采购人、采购代理机构对已发出的招标文件进行必要澄清或者修改的，将在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w:t>
      </w:r>
      <w:r>
        <w:rPr>
          <w:rFonts w:hint="eastAsia" w:asciiTheme="minorEastAsia" w:hAnsiTheme="minorEastAsia" w:eastAsiaTheme="minorEastAsia"/>
        </w:rPr>
        <w:t>招标公告指定媒体上发布澄清或者修改公告。</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cs="宋体" w:asciiTheme="minorEastAsia" w:hAnsiTheme="minorEastAsia" w:eastAsiaTheme="minorEastAsia"/>
          <w:kern w:val="0"/>
          <w:szCs w:val="21"/>
        </w:rPr>
        <w:t>9.2澄清或者修改</w:t>
      </w:r>
      <w:r>
        <w:rPr>
          <w:rFonts w:hint="eastAsia" w:asciiTheme="minorEastAsia" w:hAnsiTheme="minorEastAsia" w:eastAsiaTheme="minorEastAsia"/>
        </w:rPr>
        <w:t>的</w:t>
      </w:r>
      <w:r>
        <w:rPr>
          <w:rFonts w:hint="eastAsia" w:cs="宋体" w:asciiTheme="minorEastAsia" w:hAnsiTheme="minorEastAsia" w:eastAsiaTheme="minorEastAsia"/>
          <w:kern w:val="0"/>
          <w:szCs w:val="21"/>
        </w:rPr>
        <w:t>内容可能影响投标文件编制的，采购人、采购代理机构</w:t>
      </w:r>
      <w:r>
        <w:rPr>
          <w:rFonts w:hint="eastAsia" w:asciiTheme="minorEastAsia" w:hAnsiTheme="minorEastAsia" w:eastAsiaTheme="minorEastAsia"/>
        </w:rPr>
        <w:t>将</w:t>
      </w:r>
      <w:r>
        <w:rPr>
          <w:rFonts w:hint="eastAsia" w:cs="宋体" w:asciiTheme="minorEastAsia" w:hAnsiTheme="minorEastAsia" w:eastAsiaTheme="minorEastAsia"/>
          <w:kern w:val="0"/>
          <w:szCs w:val="21"/>
        </w:rPr>
        <w:t>在提交投标文件截止时间15日前，</w:t>
      </w:r>
      <w:r>
        <w:rPr>
          <w:rFonts w:hint="eastAsia" w:asciiTheme="minorEastAsia" w:hAnsiTheme="minorEastAsia" w:eastAsiaTheme="minorEastAsia"/>
        </w:rPr>
        <w:t>以书面形式通知所有获取招标文件的潜在投标人；不足15日的，将相应延长提交投标文件的截止时间。</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w:t>
      </w:r>
      <w:r>
        <w:rPr>
          <w:rFonts w:asciiTheme="minorEastAsia" w:hAnsiTheme="minorEastAsia" w:eastAsiaTheme="minorEastAsia"/>
        </w:rPr>
        <w:t>.3</w:t>
      </w:r>
      <w:r>
        <w:rPr>
          <w:rFonts w:hint="eastAsia" w:asciiTheme="minorEastAsia" w:hAnsiTheme="minorEastAsia" w:eastAsiaTheme="minorEastAsia"/>
        </w:rPr>
        <w:t>招标文件的提供期限届满后，获取招标文件的潜在投标人不足3家的，可以顺延提供期限，并在指定媒体上发布修改公告。</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9.4 通过电子招标投标交易平台下载招标文件的，请获取招标文件的潜在投标人及时关注</w:t>
      </w:r>
      <w:r>
        <w:rPr>
          <w:rFonts w:hint="eastAsia" w:asciiTheme="minorEastAsia" w:hAnsiTheme="minorEastAsia" w:eastAsiaTheme="minorEastAsia"/>
          <w:szCs w:val="21"/>
        </w:rPr>
        <w:t>招标公告指定媒体</w:t>
      </w:r>
      <w:r>
        <w:rPr>
          <w:rFonts w:hint="eastAsia" w:asciiTheme="minorEastAsia" w:hAnsiTheme="minorEastAsia" w:eastAsiaTheme="minorEastAsia"/>
        </w:rPr>
        <w:t>发布的澄清或者修改公告，采购人、采购代理机构不再书面通知。</w:t>
      </w:r>
    </w:p>
    <w:p>
      <w:pPr>
        <w:pStyle w:val="5"/>
        <w:adjustRightInd w:val="0"/>
        <w:snapToGrid w:val="0"/>
        <w:spacing w:before="156" w:beforeLines="50" w:after="0" w:line="360" w:lineRule="auto"/>
        <w:jc w:val="center"/>
        <w:rPr>
          <w:rFonts w:ascii="黑体" w:hAnsi="黑体" w:eastAsia="黑体"/>
          <w:sz w:val="28"/>
          <w:szCs w:val="28"/>
        </w:rPr>
      </w:pPr>
      <w:bookmarkStart w:id="54" w:name="_Toc20651198"/>
      <w:r>
        <w:rPr>
          <w:rFonts w:hint="eastAsia" w:ascii="黑体" w:hAnsi="黑体" w:eastAsia="黑体"/>
          <w:sz w:val="28"/>
          <w:szCs w:val="28"/>
        </w:rPr>
        <w:t>三、投标文件</w:t>
      </w:r>
      <w:bookmarkEnd w:id="54"/>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10. 投标语言</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10.1除专用术语外，投标人提交的投标文件及投标人与采购人、采购代理机构就有关投标的所有来往函电均使用中文。投标人可以提交其它语言的资料，但应附有中文注释，有差异时以中文为准。</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 xml:space="preserve">11. </w:t>
      </w:r>
      <w:r>
        <w:rPr>
          <w:rFonts w:hint="eastAsia" w:asciiTheme="minorEastAsia" w:hAnsiTheme="minorEastAsia" w:eastAsiaTheme="minorEastAsia"/>
          <w:b/>
          <w:sz w:val="24"/>
        </w:rPr>
        <w:t>计量单位</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11.1所有计量均采用中华人民共和国法定计量单位。</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12. </w:t>
      </w:r>
      <w:r>
        <w:rPr>
          <w:rFonts w:hint="eastAsia" w:asciiTheme="minorEastAsia" w:hAnsiTheme="minorEastAsia" w:eastAsiaTheme="minorEastAsia"/>
          <w:b/>
          <w:bCs/>
          <w:sz w:val="24"/>
        </w:rPr>
        <w:t>投标文件的组成</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12.1投标文件由如下内容组成：</w:t>
      </w:r>
    </w:p>
    <w:p>
      <w:pPr>
        <w:adjustRightInd w:val="0"/>
        <w:snapToGrid w:val="0"/>
        <w:spacing w:before="156"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（1）开标一览表</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（2）投标保</w:t>
      </w:r>
      <w:r>
        <w:rPr>
          <w:rFonts w:hint="eastAsia" w:asciiTheme="minorEastAsia" w:hAnsiTheme="minorEastAsia" w:eastAsiaTheme="minorEastAsia"/>
          <w:bCs/>
          <w:szCs w:val="21"/>
        </w:rPr>
        <w:t>证金</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（3）法定代表人（单位负责人）身份证明或授权委托书</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（4）投标人提供的资格证明文件</w:t>
      </w:r>
    </w:p>
    <w:p>
      <w:pPr>
        <w:adjustRightInd w:val="0"/>
        <w:snapToGrid w:val="0"/>
        <w:spacing w:before="156"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第二部分 商务和技术文件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（5）投标函</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（6）分项报价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（7）采购需求响应</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（8）合同条款偏离表</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（9）采购需求偏离表</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（10）享受政府采购政策优惠的证明资料</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（11）投标货物符合招标文件规定的证明文件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（12）投标人认为需提供的其他资料</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（13）中标服务费承诺书</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12.2投标人可以编制资格审查索引表、符合性审查索引表、评审索引表，以方便采购人、采购代理机构、评标委员会在资格审查及评审时查阅。</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12.3根据《政府采购法》第四十二条的规定，投标人无论中标与否，其投标文件不予退还。</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13. 投标报价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2投标人的投标报价不得超过采购预算，也不得超过最高限价(如果设定)，否则其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。采购项目预算、最高限价见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szCs w:val="21"/>
        </w:rPr>
        <w:t>13.3 投标人应在分项报价明细表中对每项内容给予详细分项</w:t>
      </w:r>
      <w:r>
        <w:rPr>
          <w:rFonts w:hint="eastAsia" w:asciiTheme="minorEastAsia" w:hAnsiTheme="minorEastAsia" w:eastAsiaTheme="minorEastAsia"/>
        </w:rPr>
        <w:t>报价。</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13.4投标人对采购项目内容只允许有一个投标报价，否则其</w:t>
      </w:r>
      <w:r>
        <w:rPr>
          <w:rFonts w:hint="eastAsia" w:asciiTheme="minorEastAsia" w:hAnsiTheme="minorEastAsia" w:eastAsiaTheme="minorEastAsia"/>
          <w:b/>
        </w:rPr>
        <w:t>投标无效</w:t>
      </w:r>
      <w:r>
        <w:rPr>
          <w:rFonts w:hint="eastAsia" w:asciiTheme="minorEastAsia" w:hAnsiTheme="minorEastAsia" w:eastAsiaTheme="minorEastAsia"/>
        </w:rPr>
        <w:t>。</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13.5采购人不接受投标人给予的赠品、回扣或者与采购无关的其他商品、服务。如有赠与行为，其</w:t>
      </w:r>
      <w:r>
        <w:rPr>
          <w:rFonts w:hint="eastAsia" w:asciiTheme="minorEastAsia" w:hAnsiTheme="minorEastAsia" w:eastAsiaTheme="minorEastAsia"/>
          <w:b/>
        </w:rPr>
        <w:t>投标无效</w:t>
      </w:r>
      <w:r>
        <w:rPr>
          <w:rFonts w:hint="eastAsia" w:asciiTheme="minorEastAsia" w:hAnsiTheme="minorEastAsia" w:eastAsiaTheme="minorEastAsia"/>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13.6</w:t>
      </w:r>
      <w:r>
        <w:rPr>
          <w:rFonts w:hint="eastAsia" w:asciiTheme="minorEastAsia" w:hAnsiTheme="minorEastAsia" w:eastAsiaTheme="minorEastAsia"/>
        </w:rPr>
        <w:t>投标文件中标明的价格在合同执行过程中是固定不变的，不得以任何理由予以变更。任何包含价格调整要求和条件的投标，其</w:t>
      </w:r>
      <w:r>
        <w:rPr>
          <w:rFonts w:hint="eastAsia" w:asciiTheme="minorEastAsia" w:hAnsiTheme="minorEastAsia" w:eastAsiaTheme="minorEastAsia"/>
          <w:b/>
        </w:rPr>
        <w:t>投标无效</w:t>
      </w:r>
      <w:r>
        <w:rPr>
          <w:rFonts w:hint="eastAsia" w:asciiTheme="minorEastAsia" w:hAnsiTheme="minorEastAsia" w:eastAsiaTheme="minorEastAsia"/>
        </w:rPr>
        <w:t>。</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13.8投标报价的其他要求见</w:t>
      </w:r>
      <w:r>
        <w:rPr>
          <w:rFonts w:hint="eastAsia" w:asciiTheme="minorEastAsia" w:hAnsiTheme="minorEastAsia"/>
          <w:b/>
          <w:szCs w:val="21"/>
        </w:rPr>
        <w:t>【投标须知前附表】</w:t>
      </w:r>
      <w:r>
        <w:rPr>
          <w:rFonts w:hint="eastAsia" w:asciiTheme="minorEastAsia" w:hAnsiTheme="minorEastAsia" w:eastAsiaTheme="minorEastAsia"/>
        </w:rPr>
        <w:t xml:space="preserve">。 </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14. </w:t>
      </w:r>
      <w:r>
        <w:rPr>
          <w:rFonts w:hint="eastAsia" w:asciiTheme="minorEastAsia" w:hAnsiTheme="minorEastAsia" w:eastAsiaTheme="minorEastAsia"/>
          <w:b/>
          <w:bCs/>
          <w:sz w:val="24"/>
        </w:rPr>
        <w:t>投标人的资格证明文件</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rPr>
        <w:t>14.1</w:t>
      </w:r>
      <w:r>
        <w:rPr>
          <w:rFonts w:hint="eastAsia" w:asciiTheme="minorEastAsia" w:hAnsiTheme="minorEastAsia" w:eastAsiaTheme="minorEastAsia"/>
          <w:szCs w:val="21"/>
        </w:rPr>
        <w:t>除</w:t>
      </w:r>
      <w:r>
        <w:rPr>
          <w:rFonts w:hint="eastAsia" w:asciiTheme="minorEastAsia" w:hAnsiTheme="minorEastAsia"/>
          <w:b/>
          <w:szCs w:val="21"/>
        </w:rPr>
        <w:t>【投标须知前附表】</w:t>
      </w:r>
      <w:r>
        <w:rPr>
          <w:rFonts w:hint="eastAsia" w:asciiTheme="minorEastAsia" w:hAnsiTheme="minorEastAsia" w:eastAsiaTheme="minorEastAsia"/>
          <w:szCs w:val="21"/>
        </w:rPr>
        <w:t>另有规</w:t>
      </w:r>
      <w:r>
        <w:rPr>
          <w:rFonts w:hint="eastAsia" w:asciiTheme="minorEastAsia" w:hAnsiTheme="minorEastAsia" w:eastAsiaTheme="minorEastAsia"/>
        </w:rPr>
        <w:t>定外，投标人应按下列规定提供资格证明文件。</w:t>
      </w:r>
    </w:p>
    <w:p>
      <w:pPr>
        <w:adjustRightInd w:val="0"/>
        <w:snapToGrid w:val="0"/>
        <w:spacing w:before="156" w:beforeLines="50" w:line="360" w:lineRule="auto"/>
        <w:ind w:firstLine="420" w:firstLineChars="200"/>
        <w:rPr>
          <w:rFonts w:asciiTheme="minorEastAsia" w:hAnsiTheme="minorEastAsia"/>
        </w:rPr>
      </w:pPr>
      <w:r>
        <w:rPr>
          <w:rFonts w:hint="eastAsia" w:asciiTheme="minorEastAsia" w:hAnsiTheme="minorEastAsia"/>
        </w:rPr>
        <w:t>（1）</w:t>
      </w:r>
      <w:r>
        <w:rPr>
          <w:rFonts w:hint="eastAsia" w:asciiTheme="minorEastAsia" w:hAnsiTheme="minorEastAsia"/>
          <w:b/>
        </w:rPr>
        <w:t>法人或者其他组织的营业执照等主体资格证明文件，自然人的身份证明</w:t>
      </w:r>
      <w:r>
        <w:rPr>
          <w:rFonts w:hint="eastAsia" w:asciiTheme="minorEastAsia" w:hAnsiTheme="minorEastAsia"/>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pPr>
        <w:adjustRightInd w:val="0"/>
        <w:snapToGrid w:val="0"/>
        <w:spacing w:before="156" w:beforeLines="50" w:line="360" w:lineRule="auto"/>
        <w:ind w:firstLine="420" w:firstLineChars="200"/>
        <w:rPr>
          <w:rFonts w:asciiTheme="minorEastAsia" w:hAnsiTheme="minorEastAsia"/>
        </w:rPr>
      </w:pPr>
      <w:r>
        <w:rPr>
          <w:rFonts w:hint="eastAsia" w:asciiTheme="minorEastAsia" w:hAnsiTheme="minorEastAsia"/>
        </w:rPr>
        <w:t>（2）</w:t>
      </w:r>
      <w:r>
        <w:rPr>
          <w:rFonts w:hint="eastAsia" w:asciiTheme="minorEastAsia" w:hAnsiTheme="minorEastAsia" w:eastAsiaTheme="minorEastAsia"/>
          <w:b/>
        </w:rPr>
        <w:t>投标人资格声明(格式)</w:t>
      </w:r>
    </w:p>
    <w:p>
      <w:pPr>
        <w:adjustRightInd w:val="0"/>
        <w:snapToGrid w:val="0"/>
        <w:spacing w:before="156" w:beforeLines="50" w:line="360" w:lineRule="auto"/>
        <w:ind w:firstLine="420" w:firstLineChars="200"/>
        <w:rPr>
          <w:rFonts w:asciiTheme="minorEastAsia" w:hAnsiTheme="minorEastAsia"/>
          <w:szCs w:val="21"/>
        </w:rPr>
      </w:pPr>
      <w:r>
        <w:rPr>
          <w:rFonts w:hint="eastAsia" w:asciiTheme="minorEastAsia" w:hAnsiTheme="minorEastAsia"/>
        </w:rPr>
        <w:t>（3）</w:t>
      </w:r>
      <w:r>
        <w:rPr>
          <w:rFonts w:hint="eastAsia" w:asciiTheme="minorEastAsia" w:hAnsiTheme="minorEastAsia"/>
          <w:b/>
        </w:rPr>
        <w:t>符合特定资格条件证明材料复印件或者情况说明原件</w:t>
      </w:r>
      <w:r>
        <w:rPr>
          <w:rFonts w:hint="eastAsia" w:asciiTheme="minorEastAsia" w:hAnsiTheme="minorEastAsia"/>
        </w:rPr>
        <w:t>。</w:t>
      </w:r>
      <w:r>
        <w:rPr>
          <w:rFonts w:hint="eastAsia" w:asciiTheme="minorEastAsia" w:hAnsiTheme="minorEastAsia"/>
          <w:szCs w:val="21"/>
        </w:rPr>
        <w:t>具体要求见</w:t>
      </w:r>
      <w:r>
        <w:rPr>
          <w:rFonts w:hint="eastAsia" w:asciiTheme="minorEastAsia" w:hAnsiTheme="minorEastAsia"/>
          <w:b/>
          <w:szCs w:val="21"/>
        </w:rPr>
        <w:t>【投标须知前附表】</w:t>
      </w:r>
      <w:r>
        <w:rPr>
          <w:rFonts w:hint="eastAsia" w:asciiTheme="minorEastAsia" w:hAnsiTheme="minorEastAsia"/>
          <w:szCs w:val="21"/>
        </w:rPr>
        <w:t>。</w:t>
      </w:r>
    </w:p>
    <w:p>
      <w:pPr>
        <w:adjustRightInd w:val="0"/>
        <w:snapToGrid w:val="0"/>
        <w:spacing w:before="156" w:beforeLines="50" w:line="360" w:lineRule="auto"/>
        <w:ind w:firstLine="420" w:firstLineChars="200"/>
        <w:rPr>
          <w:rFonts w:asciiTheme="minorEastAsia" w:hAnsiTheme="minorEastAsia"/>
        </w:rPr>
      </w:pPr>
      <w:r>
        <w:rPr>
          <w:rFonts w:hint="eastAsia" w:asciiTheme="minorEastAsia" w:hAnsiTheme="minorEastAsia"/>
        </w:rPr>
        <w:t>14.2投标人以联合体形式投标的，除应提交联合协议(格式)外，参加联合体的各方均应提交上款资格证明材料。</w:t>
      </w:r>
    </w:p>
    <w:p>
      <w:pPr>
        <w:adjustRightInd w:val="0"/>
        <w:snapToGrid w:val="0"/>
        <w:spacing w:before="156" w:beforeLines="50" w:line="360" w:lineRule="auto"/>
        <w:ind w:firstLine="420" w:firstLineChars="200"/>
        <w:rPr>
          <w:rFonts w:asciiTheme="minorEastAsia" w:hAnsiTheme="minorEastAsia"/>
        </w:rPr>
      </w:pPr>
      <w:r>
        <w:rPr>
          <w:rFonts w:hint="eastAsia" w:asciiTheme="minorEastAsia" w:hAnsiTheme="minorEastAsia"/>
        </w:rPr>
        <w:t>14.3投标人的资格证明文件均应为有效文件并加盖投标人单位章，并按招标文件规定签署。</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15. 投标货物及服务符合招标文件规定的证明文件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15.1投标人应当提交其拟供的合同项下货物及其服务符合招标文件规定的证明文件,该证明文件作为投标文件的一部分。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15.2上述证明文件可以是文字资料、图表、数据、证书等资料，包括但不限于：</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（1）货物主要技术指标和性能的详细说明。对有具体参数要求的指标，投标人应提供具体参数值；</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（2）货物的品牌型号、制造商及原产地等说明；</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（3）招标文件第五章“采购需求”要求的其它文件。</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16. 投标有效期</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16.1投标有效期从提交投标文件的截止之日起算。投标文件中承诺的投标有效期应当不少于</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中载明的投标有效期。投标有效期不满足要求的，其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16.2投标有效期内投标人撤销投标文件的，投标人应承担招标文件和法律规定的责任。</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17. 投标保证金</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17.1招标文件要求投标人提交投标保证金的，</w:t>
      </w:r>
      <w:r>
        <w:rPr>
          <w:rFonts w:hint="eastAsia" w:asciiTheme="minorEastAsia" w:hAnsiTheme="minorEastAsia" w:eastAsiaTheme="minorEastAsia"/>
          <w:bCs/>
          <w:szCs w:val="21"/>
        </w:rPr>
        <w:t>投标人</w:t>
      </w:r>
      <w:r>
        <w:rPr>
          <w:rFonts w:hint="eastAsia" w:asciiTheme="minorEastAsia" w:hAnsiTheme="minorEastAsia" w:eastAsiaTheme="minorEastAsia"/>
          <w:szCs w:val="21"/>
        </w:rPr>
        <w:t>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w:t>
      </w:r>
      <w:r>
        <w:rPr>
          <w:rFonts w:hint="eastAsia" w:asciiTheme="minorEastAsia" w:hAnsiTheme="minorEastAsia" w:eastAsiaTheme="minorEastAsia"/>
          <w:bCs/>
          <w:szCs w:val="21"/>
        </w:rPr>
        <w:t>在</w:t>
      </w:r>
      <w:r>
        <w:rPr>
          <w:rFonts w:hint="eastAsia" w:asciiTheme="minorEastAsia" w:hAnsiTheme="minorEastAsia" w:eastAsiaTheme="minorEastAsia"/>
          <w:szCs w:val="21"/>
        </w:rPr>
        <w:t>提交投标文件的截止时间</w:t>
      </w:r>
      <w:r>
        <w:rPr>
          <w:rFonts w:hint="eastAsia" w:asciiTheme="minorEastAsia" w:hAnsiTheme="minorEastAsia" w:eastAsiaTheme="minorEastAsia"/>
          <w:bCs/>
          <w:szCs w:val="21"/>
        </w:rPr>
        <w:t>前提交投标保证金</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17.2联合体投标的，可以由联合体中的一方或者共同提交投标保证金。以一方名义提交投标保证金的，对联合体各方均具有约束力。</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17.3投标保证金的退还按以下规定办理：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（1）中标投标人的投标保证金，将在采购合同签订后5个工作日内退还。</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（2）未中标的投标人的投标保证金，将在中标通知书发出后5个工作日内退还。</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（3）终止招标的。对于已递交投标保证金的，采购人、采购代理机构在终止招标公告发布后5个工作日内退还。</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（4）在投标截止日前撤回投标的，对于已递交投标保证金的，采购人、采购代理机构在收到投标人书面撤回投标通知之日起5个工作日内退还。</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17.4有以下情形之一的，投标保证金将不予退还，上交国库：</w:t>
      </w:r>
      <w:r>
        <w:rPr>
          <w:rFonts w:asciiTheme="minorEastAsia" w:hAnsiTheme="minorEastAsia" w:eastAsiaTheme="minorEastAsia"/>
          <w:szCs w:val="21"/>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（1）投标人在招标文件中规定的投标有效期内撤销其投标；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（2）中标人无正当理由不与招标人订立合同，在签订合同时向招标人提出附加条件，或者不按照招标文件要求提交履约保证金。</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18.分包</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18.1投标人拟在中标后将中</w:t>
      </w:r>
      <w:r>
        <w:rPr>
          <w:rFonts w:hint="eastAsia" w:asciiTheme="minorEastAsia" w:hAnsiTheme="minorEastAsia" w:eastAsiaTheme="minorEastAsia"/>
          <w:szCs w:val="21"/>
        </w:rPr>
        <w:t>标项目的非主体、非关键性工作进行分包的，应符合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规定的分包内容、分包金</w:t>
      </w:r>
      <w:r>
        <w:rPr>
          <w:rFonts w:hint="eastAsia" w:asciiTheme="minorEastAsia" w:hAnsiTheme="minorEastAsia" w:eastAsiaTheme="minorEastAsia"/>
        </w:rPr>
        <w:t>额和资质要求等限制性条件，并在投标文件中载明分包承担主体，且分包承担主体不得再次分包。</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18.2中标人应当就分包项目向采购人负责，分包承担主体就分包项目承担连带责任。</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18.3不符合招标文件中有关分包规定的，其</w:t>
      </w:r>
      <w:r>
        <w:rPr>
          <w:rFonts w:hint="eastAsia" w:asciiTheme="minorEastAsia" w:hAnsiTheme="minorEastAsia" w:eastAsiaTheme="minorEastAsia"/>
          <w:b/>
        </w:rPr>
        <w:t>投标无效</w:t>
      </w:r>
      <w:r>
        <w:rPr>
          <w:rFonts w:hint="eastAsia" w:asciiTheme="minorEastAsia" w:hAnsiTheme="minorEastAsia" w:eastAsiaTheme="minorEastAsia"/>
        </w:rPr>
        <w:t>。</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19. 投标文件的签署</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19.1投标文件正本一份，副本份数见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；投标文件电子文档（U盘或光盘形式）：二份</w:t>
      </w:r>
      <w:r>
        <w:rPr>
          <w:rFonts w:hint="eastAsia" w:asciiTheme="minorEastAsia" w:hAnsiTheme="minorEastAsia" w:eastAsiaTheme="minorEastAsia"/>
          <w:b/>
          <w:szCs w:val="21"/>
        </w:rPr>
        <w:t>。</w:t>
      </w:r>
      <w:r>
        <w:rPr>
          <w:rFonts w:hint="eastAsia" w:asciiTheme="minorEastAsia" w:hAnsiTheme="minorEastAsia" w:eastAsiaTheme="minorEastAsia"/>
          <w:szCs w:val="21"/>
        </w:rPr>
        <w:t>纸质投标文件须清楚地注明“正本”或“副本”的字样。若副本和正本不一致或电子版文件和纸质正本文件不一致时，以纸质正本文件为准。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19.2投标文件正本应打印或用不褪色的材料书写，并由投标人和投标人代表按照招标文件规定在投标文件需要签署的位置签署、盖章。投标人代表可为投标人法定代表人(非法人组织为负责人、个体工商户为负责人，以下统称单位负责人)；投标人代表不是投标人的法定代表人（单位负责人）的，应提供法定代表人（单位负责人）授权委托书。投标文件的副本可以是正本文件的复印件。投标文件的正本与副本应分别装订成册，并编制目录。</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19.3投标文件中的任何行间插字、涂改和增删，改动的地方应加盖单位章或由投标人代表签字确认。不按上述要求签署的，</w:t>
      </w:r>
      <w:r>
        <w:rPr>
          <w:rFonts w:hint="eastAsia" w:asciiTheme="minorEastAsia" w:hAnsiTheme="minorEastAsia" w:eastAsiaTheme="minorEastAsia"/>
          <w:b/>
          <w:szCs w:val="21"/>
        </w:rPr>
        <w:t>其投标无效</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19.4为便于采购文件保存，投标文件电子文档建议为PDF格式，内容与纸质投标文件正本一致。</w:t>
      </w:r>
    </w:p>
    <w:p>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55" w:name="_Toc20651199"/>
      <w:r>
        <w:rPr>
          <w:rFonts w:hint="eastAsia" w:ascii="黑体" w:hAnsi="黑体" w:eastAsia="黑体"/>
          <w:sz w:val="28"/>
          <w:szCs w:val="28"/>
        </w:rPr>
        <w:t>四、投标</w:t>
      </w:r>
      <w:bookmarkEnd w:id="55"/>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20.</w:t>
      </w:r>
      <w:r>
        <w:rPr>
          <w:rFonts w:hint="eastAsia" w:asciiTheme="minorEastAsia" w:hAnsiTheme="minorEastAsia" w:eastAsiaTheme="minorEastAsia"/>
          <w:b/>
          <w:bCs/>
          <w:sz w:val="24"/>
        </w:rPr>
        <w:t xml:space="preserve"> 投标文件的密封和标记</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20.1投标人应将投标文件密封包装以保证自己的投标信息在开标前不被透露。</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.2</w:t>
      </w:r>
      <w:r>
        <w:rPr>
          <w:rFonts w:hint="eastAsia" w:asciiTheme="minorEastAsia" w:hAnsiTheme="minorEastAsia" w:eastAsiaTheme="minorEastAsia"/>
          <w:szCs w:val="21"/>
        </w:rPr>
        <w:t>投标文件密封袋上应标明“投标项目名称”、“采购代理编号”、“正本”或“副本”和“于（开标时间） 之前不得开启”的字样。如果采购项目分包招标的，还应注明投标的包号。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w:t>
      </w:r>
      <w:r>
        <w:rPr>
          <w:rFonts w:hint="eastAsia" w:asciiTheme="minorEastAsia" w:hAnsiTheme="minorEastAsia" w:eastAsiaTheme="minorEastAsia"/>
          <w:szCs w:val="21"/>
        </w:rPr>
        <w:t>3为方便开标及进行资格审查，建议投标人将第一部分资格证明文件单独密封，并在投标文件密封袋上标明“资格证明文件”字样，在投标时单独递交。</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w:t>
      </w:r>
      <w:r>
        <w:rPr>
          <w:rFonts w:hint="eastAsia" w:asciiTheme="minorEastAsia" w:hAnsiTheme="minorEastAsia" w:eastAsiaTheme="minorEastAsia"/>
          <w:szCs w:val="21"/>
        </w:rPr>
        <w:t>4未按本章第 20.1 款要求密封的投标文件，采购人、采购代理机构</w:t>
      </w:r>
      <w:r>
        <w:rPr>
          <w:rFonts w:hint="eastAsia" w:asciiTheme="minorEastAsia" w:hAnsiTheme="minorEastAsia" w:eastAsiaTheme="minorEastAsia"/>
          <w:b/>
          <w:szCs w:val="21"/>
        </w:rPr>
        <w:t>应当拒收</w:t>
      </w:r>
      <w:r>
        <w:rPr>
          <w:rFonts w:hint="eastAsia" w:asciiTheme="minorEastAsia" w:hAnsiTheme="minorEastAsia" w:eastAsiaTheme="minorEastAsia"/>
          <w:szCs w:val="21"/>
        </w:rPr>
        <w:t>。</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21. 投标截止期</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21.1投标人应在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规定的投标截止时间前将投标文件</w:t>
      </w:r>
      <w:r>
        <w:rPr>
          <w:rFonts w:hint="eastAsia" w:asciiTheme="minorEastAsia" w:hAnsiTheme="minorEastAsia" w:eastAsiaTheme="minorEastAsia"/>
          <w:bCs/>
          <w:szCs w:val="21"/>
        </w:rPr>
        <w:t>密封送达</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指定的投标地点。</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21.2逾期送达的投标文件，以及未通过资格预审的申请人提交的投标文件（实行资格预审的），采购人、采购代理机构</w:t>
      </w:r>
      <w:r>
        <w:rPr>
          <w:rFonts w:hint="eastAsia" w:asciiTheme="minorEastAsia" w:hAnsiTheme="minorEastAsia" w:eastAsiaTheme="minorEastAsia"/>
          <w:b/>
          <w:szCs w:val="21"/>
        </w:rPr>
        <w:t>应当拒收</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21.3</w:t>
      </w:r>
      <w:r>
        <w:rPr>
          <w:rFonts w:hint="eastAsia" w:asciiTheme="minorEastAsia" w:hAnsiTheme="minorEastAsia" w:eastAsiaTheme="minorEastAsia"/>
          <w:bCs/>
          <w:szCs w:val="21"/>
        </w:rPr>
        <w:t>采购人、采购代理机构收到投标文件后，应当如实记载投标文件的送达时间和密封情况，签收保存，并向投标人出具包括</w:t>
      </w:r>
      <w:r>
        <w:rPr>
          <w:rFonts w:ascii="宋体" w:hAnsi="宋体" w:cs="宋体"/>
          <w:kern w:val="0"/>
          <w:sz w:val="22"/>
          <w:szCs w:val="22"/>
        </w:rPr>
        <w:t>以下</w:t>
      </w:r>
      <w:r>
        <w:rPr>
          <w:rFonts w:hint="eastAsia" w:ascii="宋体" w:hAnsi="宋体" w:cs="宋体"/>
          <w:kern w:val="0"/>
          <w:sz w:val="22"/>
          <w:szCs w:val="22"/>
        </w:rPr>
        <w:t>信息的</w:t>
      </w:r>
      <w:r>
        <w:rPr>
          <w:rFonts w:hint="eastAsia" w:asciiTheme="minorEastAsia" w:hAnsiTheme="minorEastAsia" w:eastAsiaTheme="minorEastAsia"/>
          <w:bCs/>
          <w:szCs w:val="21"/>
        </w:rPr>
        <w:t>签收回执。任何单位和个人不得在开标前开启投标文件。</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w:t>
      </w:r>
      <w:r>
        <w:rPr>
          <w:rFonts w:ascii="宋体" w:hAnsi="宋体" w:cs="宋体"/>
          <w:szCs w:val="21"/>
        </w:rPr>
        <w:t>项目名称</w:t>
      </w:r>
      <w:r>
        <w:rPr>
          <w:rFonts w:hint="eastAsia" w:ascii="宋体" w:hAnsi="宋体" w:cs="宋体"/>
          <w:szCs w:val="21"/>
        </w:rPr>
        <w:t>、采购代理编号；</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宋体" w:hAnsi="宋体" w:cs="宋体"/>
          <w:szCs w:val="21"/>
        </w:rPr>
        <w:t>投标人名称</w:t>
      </w:r>
      <w:r>
        <w:rPr>
          <w:rFonts w:hint="eastAsia" w:ascii="宋体" w:hAnsi="宋体" w:cs="宋体"/>
          <w:szCs w:val="21"/>
        </w:rPr>
        <w:t>；</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（3）投标文件送达</w:t>
      </w:r>
      <w:r>
        <w:rPr>
          <w:rFonts w:ascii="宋体" w:hAnsi="宋体" w:cs="宋体"/>
          <w:szCs w:val="21"/>
        </w:rPr>
        <w:t>时间</w:t>
      </w:r>
      <w:r>
        <w:rPr>
          <w:rFonts w:hint="eastAsia" w:ascii="宋体" w:hAnsi="宋体" w:cs="宋体"/>
          <w:szCs w:val="21"/>
        </w:rPr>
        <w:t>、地址；</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（4）</w:t>
      </w:r>
      <w:r>
        <w:rPr>
          <w:rFonts w:ascii="宋体" w:hAnsi="宋体" w:cs="宋体"/>
          <w:szCs w:val="21"/>
        </w:rPr>
        <w:t>投标文件密封情况</w:t>
      </w:r>
      <w:r>
        <w:rPr>
          <w:rFonts w:hint="eastAsia" w:ascii="宋体" w:hAnsi="宋体" w:cs="宋体"/>
          <w:szCs w:val="21"/>
        </w:rPr>
        <w:t>；</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w:t>
      </w:r>
      <w:r>
        <w:rPr>
          <w:rFonts w:hint="eastAsia" w:ascii="宋体" w:hAnsi="宋体" w:cs="宋体"/>
          <w:szCs w:val="21"/>
        </w:rPr>
        <w:t>采购代理机构名称；</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（6）采购代理机构</w:t>
      </w:r>
      <w:r>
        <w:rPr>
          <w:rFonts w:ascii="宋体" w:hAnsi="宋体" w:cs="宋体"/>
          <w:szCs w:val="21"/>
        </w:rPr>
        <w:t>接收人签字</w:t>
      </w:r>
      <w:r>
        <w:rPr>
          <w:rFonts w:hint="eastAsia" w:ascii="宋体" w:hAnsi="宋体" w:cs="宋体"/>
          <w:szCs w:val="21"/>
        </w:rPr>
        <w:t>。</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22. 投标文件的修改和撤回</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22.2采购人、采购代理机构对投标人提交的投标文件修改或者撤回的书面通知，按照本章第21.3款规定如实记载、签收保存，并向投标人出具签收回执。</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22.3投标人在</w:t>
      </w:r>
      <w:r>
        <w:rPr>
          <w:rFonts w:hint="eastAsia" w:asciiTheme="minorEastAsia" w:hAnsiTheme="minorEastAsia" w:eastAsiaTheme="minorEastAsia"/>
          <w:bCs/>
          <w:szCs w:val="21"/>
        </w:rPr>
        <w:t>提交投标文件的截止时间</w:t>
      </w:r>
      <w:r>
        <w:rPr>
          <w:rFonts w:hint="eastAsia" w:asciiTheme="minorEastAsia" w:hAnsiTheme="minorEastAsia" w:eastAsiaTheme="minorEastAsia"/>
          <w:szCs w:val="21"/>
        </w:rPr>
        <w:t>前撤回已提交的投标文件的，采购人、采购代理机构应当自收到投标人书面撤回通知之日起５个工作日内，退还已收取的投标保证金，但因投标人自身原因导致无法及时退还的除外。</w:t>
      </w:r>
    </w:p>
    <w:p>
      <w:pPr>
        <w:adjustRightInd w:val="0"/>
        <w:snapToGrid w:val="0"/>
        <w:spacing w:before="156" w:beforeLines="50" w:line="360" w:lineRule="auto"/>
        <w:jc w:val="left"/>
        <w:rPr>
          <w:rFonts w:cs="Arial" w:asciiTheme="minorEastAsia" w:hAnsiTheme="minorEastAsia" w:eastAsiaTheme="minorEastAsia"/>
          <w:b/>
          <w:sz w:val="24"/>
        </w:rPr>
      </w:pPr>
      <w:r>
        <w:rPr>
          <w:rFonts w:hint="eastAsia" w:asciiTheme="minorEastAsia" w:hAnsiTheme="minorEastAsia" w:eastAsiaTheme="minorEastAsia"/>
          <w:b/>
          <w:bCs/>
          <w:sz w:val="24"/>
        </w:rPr>
        <w:t>23.</w:t>
      </w:r>
      <w:r>
        <w:rPr>
          <w:rFonts w:hint="eastAsia" w:cs="Arial" w:asciiTheme="minorEastAsia" w:hAnsiTheme="minorEastAsia" w:eastAsiaTheme="minorEastAsia"/>
          <w:b/>
          <w:sz w:val="24"/>
        </w:rPr>
        <w:t xml:space="preserve"> 串通</w:t>
      </w:r>
      <w:r>
        <w:rPr>
          <w:rFonts w:hint="eastAsia" w:asciiTheme="minorEastAsia" w:hAnsiTheme="minorEastAsia" w:eastAsiaTheme="minorEastAsia"/>
          <w:b/>
          <w:sz w:val="24"/>
        </w:rPr>
        <w:t>投标行为</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23.1有下列情形之一的，属于恶意串通，对投标人依照政府采购法第七十七条第一款的规定追究法律责任：</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（1）投标人直接或者间接从采购人或者采购代理机构处获得其他投标人的相关情况并修改其投标文件；</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（2）投标人按照采购人或者采购代理机构的授意撤换、修改投标文件；</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（3）投标人之间协商报价、技术方案等投标文件的实质性内容；</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（4）属于同一集团、协会、商会等组织成员的投标人按照该组织要求协同参加采购活动；</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（5）投标人之间事先约定由某一特定投标人中标；</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（6）投标人之间商定部分投标人放弃参加采购活动或者放弃中标；</w:t>
      </w:r>
    </w:p>
    <w:p>
      <w:pPr>
        <w:adjustRightInd w:val="0"/>
        <w:snapToGrid w:val="0"/>
        <w:spacing w:before="156"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（7）投标人与采购人或者采购代理机构之间、投标人相互之间，为谋求特定投标人中标或者排斥其他投标人的其他串通行为。</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23.2有下列情形之一的，视为投标人串通投标，其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（1）不同投标人的投标文件由同一单位或者个人编制；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（2）不同投标人委托同一单位或者个人办理投标事宜；</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（3）不同投标人的投标文件载明的项目管理成员或者联系人员为同一人；</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（4）不同投标人的投标文件异常一致或者投标报价呈规律性差异；</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（5）不同投标人的投标文件相互混装；</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（6）不同投标人的投标保证金从同一单位或者个人的账户转出。</w:t>
      </w:r>
    </w:p>
    <w:p>
      <w:pPr>
        <w:pStyle w:val="5"/>
        <w:adjustRightInd w:val="0"/>
        <w:snapToGrid w:val="0"/>
        <w:spacing w:before="156" w:beforeLines="50" w:after="0" w:line="360" w:lineRule="auto"/>
        <w:jc w:val="center"/>
        <w:rPr>
          <w:rFonts w:ascii="黑体" w:hAnsi="黑体" w:eastAsia="黑体"/>
          <w:sz w:val="28"/>
          <w:szCs w:val="28"/>
        </w:rPr>
      </w:pPr>
      <w:bookmarkStart w:id="56" w:name="_Toc20651200"/>
      <w:r>
        <w:rPr>
          <w:rFonts w:hint="eastAsia" w:ascii="黑体" w:hAnsi="黑体" w:eastAsia="黑体"/>
          <w:sz w:val="28"/>
          <w:szCs w:val="28"/>
        </w:rPr>
        <w:t>五、开标，资格审查和评标</w:t>
      </w:r>
      <w:bookmarkEnd w:id="56"/>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24. 开标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24.1采购人、采购代理机构在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规定的开标地点组织开标，并邀请投标人参加。投标人未参加开标的，视同认可开标结果。</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24.2开标时，由投标人或其推选的代表检查投标文件的密封情况；经确认无误后，由采购人、采购代理机构当众拆封</w:t>
      </w:r>
      <w:r>
        <w:rPr>
          <w:rFonts w:hint="eastAsia" w:cs="Arial" w:asciiTheme="minorEastAsia" w:hAnsiTheme="minorEastAsia" w:eastAsiaTheme="minorEastAsia"/>
          <w:szCs w:val="21"/>
        </w:rPr>
        <w:t>投标文件</w:t>
      </w:r>
      <w:r>
        <w:rPr>
          <w:rFonts w:hint="eastAsia" w:asciiTheme="minorEastAsia" w:hAnsiTheme="minorEastAsia" w:eastAsiaTheme="minorEastAsia"/>
          <w:szCs w:val="21"/>
        </w:rPr>
        <w:t>，宣读投标人名称、投标价格和</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规定需要宣布的其他内容。投标人不足3家的，不得开标。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24.3开标过程应当由采购人、采购代理机构负责记录，由参加开标的各投标人代表和相关工作人员签字确认后随采购文件一并存档。</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24.4投标人代表对开标过程和开标记录有疑义，以及认为采购人、采购代理机构相关工作人员有《政府采购法实施条例》第九条第一款需要回避的情形的，应当场提出询问或者回避申请。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24.5采购人、采购代理机构对投标人代表当场提出的询问或者回避申请，按《政府采购法实施条例》有关规定及时处理。</w:t>
      </w:r>
    </w:p>
    <w:p>
      <w:pPr>
        <w:adjustRightInd w:val="0"/>
        <w:snapToGrid w:val="0"/>
        <w:spacing w:before="156" w:beforeLines="50" w:line="360" w:lineRule="auto"/>
        <w:jc w:val="left"/>
        <w:rPr>
          <w:rFonts w:asciiTheme="minorEastAsia" w:hAnsiTheme="minorEastAsia" w:eastAsiaTheme="minorEastAsia"/>
          <w:b/>
          <w:sz w:val="24"/>
        </w:rPr>
      </w:pPr>
      <w:r>
        <w:rPr>
          <w:rStyle w:val="45"/>
          <w:rFonts w:hint="eastAsia" w:cs="Arial" w:asciiTheme="minorEastAsia" w:hAnsiTheme="minorEastAsia" w:eastAsiaTheme="minorEastAsia"/>
          <w:sz w:val="24"/>
        </w:rPr>
        <w:t>25.</w:t>
      </w:r>
      <w:r>
        <w:rPr>
          <w:rFonts w:hint="eastAsia" w:asciiTheme="minorEastAsia" w:hAnsiTheme="minorEastAsia" w:eastAsiaTheme="minorEastAsia"/>
          <w:b/>
          <w:sz w:val="24"/>
        </w:rPr>
        <w:t xml:space="preserve"> 资格审查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25.1开标结束后，采购人、采购代理机构依法按照第三章</w:t>
      </w:r>
      <w:r>
        <w:rPr>
          <w:rFonts w:hint="eastAsia" w:ascii="华文宋体" w:hAnsi="华文宋体" w:eastAsia="华文宋体"/>
          <w:szCs w:val="21"/>
        </w:rPr>
        <w:t>“</w:t>
      </w:r>
      <w:r>
        <w:rPr>
          <w:rFonts w:hint="eastAsia" w:asciiTheme="minorEastAsia" w:hAnsiTheme="minorEastAsia" w:eastAsiaTheme="minorEastAsia"/>
          <w:szCs w:val="21"/>
        </w:rPr>
        <w:t>资格审查</w:t>
      </w:r>
      <w:r>
        <w:rPr>
          <w:rFonts w:hint="eastAsia" w:ascii="华文宋体" w:hAnsi="华文宋体" w:eastAsia="华文宋体"/>
          <w:szCs w:val="21"/>
        </w:rPr>
        <w:t>”</w:t>
      </w:r>
      <w:r>
        <w:rPr>
          <w:rFonts w:hint="eastAsia" w:asciiTheme="minorEastAsia" w:hAnsiTheme="minorEastAsia" w:eastAsiaTheme="minorEastAsia"/>
          <w:szCs w:val="21"/>
        </w:rPr>
        <w:t>规定组织资格审查。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25.2资格审查结束后，采购人、采购代理机构应将资格审查结果告知评标委员会。资格审查不合格投标人不进入评标；资格审查合格投标人少于3家的，不得评标。</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26.</w:t>
      </w:r>
      <w:r>
        <w:rPr>
          <w:rFonts w:hint="eastAsia" w:asciiTheme="minorEastAsia" w:hAnsiTheme="minorEastAsia" w:eastAsiaTheme="minorEastAsia"/>
          <w:b/>
          <w:sz w:val="24"/>
        </w:rPr>
        <w:t xml:space="preserve"> 评标委员会</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26.1评标由依法组建的评标委员会负责，评标委员会由采购人代表和评审专家组成。</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26.2评标委员会成员有下列情形之一的，应当回避：</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（1）参加采购活动前三年内,与投标人存在劳动关系,或者担任过投标人的董事、监事,或者是投标人的控股股东或实际控制人；</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（2）与投标人的法定代表人或者负责人有夫妻、直系血亲、三代以内旁系血亲或者近姻亲关系；</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（3）与投标人有其他可能影响采购活动公平、公正进行的关系。</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26.3评标委员会负责具体评标事务，并独立履行下列职责：</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（1）审查、评价投标文件是否符合招标文件的商务、技术等实质性要求；</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（2）要求投标人对投标文件有关事项作出澄清或者说明；</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（3）对投标文件进行比较和评价；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（4）确定中标候选人名单，以及根据采购人委托直接确定中标人。</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27.</w:t>
      </w:r>
      <w:r>
        <w:rPr>
          <w:rFonts w:hint="eastAsia" w:asciiTheme="minorEastAsia" w:hAnsiTheme="minorEastAsia" w:eastAsiaTheme="minorEastAsia"/>
          <w:b/>
          <w:bCs/>
          <w:sz w:val="24"/>
        </w:rPr>
        <w:t xml:space="preserve"> 评标</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27.1评标委员会按照</w:t>
      </w:r>
      <w:r>
        <w:rPr>
          <w:rFonts w:hint="eastAsia" w:asciiTheme="minorEastAsia" w:hAnsiTheme="minorEastAsia" w:eastAsiaTheme="minorEastAsia"/>
          <w:bCs/>
        </w:rPr>
        <w:t>第四章</w:t>
      </w:r>
      <w:r>
        <w:rPr>
          <w:rFonts w:hint="eastAsia" w:ascii="华文宋体" w:hAnsi="华文宋体" w:eastAsia="华文宋体"/>
          <w:bCs/>
        </w:rPr>
        <w:t>“</w:t>
      </w:r>
      <w:r>
        <w:rPr>
          <w:rFonts w:hint="eastAsia" w:asciiTheme="minorEastAsia" w:hAnsiTheme="minorEastAsia" w:eastAsiaTheme="minorEastAsia"/>
          <w:bCs/>
        </w:rPr>
        <w:t>评标方法及标准</w:t>
      </w:r>
      <w:r>
        <w:rPr>
          <w:rFonts w:hint="eastAsia" w:ascii="华文宋体" w:hAnsi="华文宋体" w:eastAsia="华文宋体"/>
          <w:bCs/>
        </w:rPr>
        <w:t>”</w:t>
      </w:r>
      <w:r>
        <w:rPr>
          <w:rFonts w:hint="eastAsia" w:asciiTheme="minorEastAsia" w:hAnsiTheme="minorEastAsia" w:eastAsiaTheme="minorEastAsia"/>
        </w:rPr>
        <w:t>规定的评标方法、评审因素、标准和程序以及有关法律、法规及规章对投标文件进行评审。</w:t>
      </w:r>
    </w:p>
    <w:p>
      <w:pPr>
        <w:pStyle w:val="5"/>
        <w:adjustRightInd w:val="0"/>
        <w:snapToGrid w:val="0"/>
        <w:spacing w:before="156" w:beforeLines="50" w:after="0" w:line="360" w:lineRule="auto"/>
        <w:jc w:val="center"/>
        <w:rPr>
          <w:rFonts w:ascii="黑体" w:hAnsi="黑体" w:eastAsia="黑体"/>
          <w:sz w:val="28"/>
          <w:szCs w:val="28"/>
        </w:rPr>
      </w:pPr>
      <w:bookmarkStart w:id="57" w:name="_Toc20651201"/>
      <w:r>
        <w:rPr>
          <w:rFonts w:hint="eastAsia" w:ascii="黑体" w:hAnsi="黑体" w:eastAsia="黑体"/>
          <w:sz w:val="28"/>
          <w:szCs w:val="28"/>
        </w:rPr>
        <w:t>六、中标信息公布</w:t>
      </w:r>
      <w:bookmarkEnd w:id="57"/>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28.</w:t>
      </w:r>
      <w:r>
        <w:rPr>
          <w:rFonts w:hint="eastAsia" w:asciiTheme="minorEastAsia" w:hAnsiTheme="minorEastAsia" w:eastAsiaTheme="minorEastAsia"/>
          <w:sz w:val="24"/>
        </w:rPr>
        <w:t xml:space="preserve"> </w:t>
      </w:r>
      <w:r>
        <w:rPr>
          <w:rFonts w:hint="eastAsia" w:asciiTheme="minorEastAsia" w:hAnsiTheme="minorEastAsia" w:eastAsiaTheme="minorEastAsia"/>
          <w:b/>
          <w:bCs/>
          <w:sz w:val="24"/>
        </w:rPr>
        <w:t>中标通知书与中标信息公布</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28.1采购代理机构应当在评标结束后2个工作日内将评标报告送采购人。</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28.2采购人应当自收到评标报告之日起5个工作日内，在评标报告确定的中标候选人名单中按顺序确定中标人。中标候选人并列的，按照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规定的方式确定中标人；招标文件未规定的，采取随机抽取的方式确定。</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28.3采购人、采购代理机构应当自采购人确定中标供应商之日起2个工作日内，发出中标通知书，并在招标公告指定媒体上公告中标结果，招标文件随中标结果同时公告，中标结果公告期限为１个工作日。</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29.</w:t>
      </w:r>
      <w:r>
        <w:rPr>
          <w:rFonts w:hint="eastAsia" w:asciiTheme="minorEastAsia" w:hAnsiTheme="minorEastAsia" w:eastAsiaTheme="minorEastAsia"/>
          <w:b/>
          <w:sz w:val="24"/>
        </w:rPr>
        <w:t xml:space="preserve"> 投标人询问及</w:t>
      </w:r>
      <w:r>
        <w:rPr>
          <w:rFonts w:hint="eastAsia" w:asciiTheme="minorEastAsia" w:hAnsiTheme="minorEastAsia" w:eastAsiaTheme="minorEastAsia"/>
          <w:b/>
          <w:bCs/>
          <w:sz w:val="24"/>
        </w:rPr>
        <w:t>质疑</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29.1投标人对采购活动事项有疑问的，可以向采购人、采购代理机构提出询问。采购人或采购代理机构将在3个工作日内作出答复。</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Theme="minorEastAsia" w:hAnsiTheme="minorEastAsia" w:eastAsiaTheme="minorEastAsia"/>
          <w:b/>
          <w:szCs w:val="21"/>
        </w:rPr>
        <w:t>【申请人须知前附表】</w:t>
      </w:r>
      <w:r>
        <w:rPr>
          <w:rFonts w:hint="eastAsia" w:asciiTheme="minorEastAsia" w:hAnsiTheme="minorEastAsia" w:eastAsiaTheme="minorEastAsia"/>
          <w:szCs w:val="21"/>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29.4采购人、采购代理机构按照《湖南省财政厅关于印发＜政府采购质疑答复和投诉处理操作规程＞的通知》规定进行质疑答复。</w:t>
      </w:r>
    </w:p>
    <w:p>
      <w:pPr>
        <w:adjustRightInd w:val="0"/>
        <w:snapToGrid w:val="0"/>
        <w:spacing w:before="156" w:beforeLines="50" w:line="360" w:lineRule="auto"/>
        <w:ind w:firstLine="420" w:firstLineChars="200"/>
        <w:jc w:val="left"/>
        <w:rPr>
          <w:rFonts w:asciiTheme="minorEastAsia" w:hAnsiTheme="minorEastAsia" w:eastAsiaTheme="minorEastAsia"/>
          <w:b/>
          <w:bCs/>
        </w:rPr>
      </w:pPr>
      <w:r>
        <w:rPr>
          <w:rFonts w:hint="eastAsia" w:asciiTheme="minorEastAsia" w:hAnsiTheme="minorEastAsia" w:eastAsiaTheme="minorEastAsia"/>
          <w:szCs w:val="21"/>
        </w:rPr>
        <w:t>29</w:t>
      </w:r>
      <w:r>
        <w:rPr>
          <w:rFonts w:asciiTheme="minorEastAsia" w:hAnsiTheme="minorEastAsia" w:eastAsiaTheme="minorEastAsia"/>
          <w:szCs w:val="21"/>
        </w:rPr>
        <w:t>.</w:t>
      </w:r>
      <w:r>
        <w:rPr>
          <w:rFonts w:hint="eastAsia" w:asciiTheme="minorEastAsia" w:hAnsiTheme="minorEastAsia" w:eastAsiaTheme="minorEastAsia"/>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pPr>
        <w:pStyle w:val="5"/>
        <w:adjustRightInd w:val="0"/>
        <w:snapToGrid w:val="0"/>
        <w:spacing w:before="156" w:beforeLines="50" w:after="0" w:line="360" w:lineRule="auto"/>
        <w:jc w:val="center"/>
        <w:rPr>
          <w:rFonts w:ascii="黑体" w:hAnsi="黑体" w:eastAsia="黑体"/>
          <w:sz w:val="28"/>
          <w:szCs w:val="28"/>
        </w:rPr>
      </w:pPr>
      <w:bookmarkStart w:id="58" w:name="_Toc20651202"/>
      <w:r>
        <w:rPr>
          <w:rFonts w:hint="eastAsia" w:ascii="黑体" w:hAnsi="黑体" w:eastAsia="黑体"/>
          <w:sz w:val="28"/>
          <w:szCs w:val="28"/>
        </w:rPr>
        <w:t>七、合同签订</w:t>
      </w:r>
      <w:bookmarkEnd w:id="58"/>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30. 签订合同</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30.1采购人应自中标通知书发出之日起30日内，按中标通知书指定的时间、地点与中标人签订采购合同。所签订的合同不得对招标文件确定的事项和中标人投标文件作实质性修改。</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30.2招标文件、中标人的投标文件均为签订合同的依据。</w:t>
      </w:r>
    </w:p>
    <w:p>
      <w:pPr>
        <w:adjustRightInd w:val="0"/>
        <w:snapToGrid w:val="0"/>
        <w:spacing w:before="156" w:beforeLines="50" w:line="360" w:lineRule="auto"/>
        <w:ind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30.3联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标的</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体各</w:t>
      </w:r>
      <w:r>
        <w:rPr>
          <w:rFonts w:hint="eastAsia" w:cs="微软雅黑" w:asciiTheme="minorEastAsia" w:hAnsiTheme="minorEastAsia" w:eastAsiaTheme="minorEastAsia"/>
          <w:spacing w:val="-2"/>
          <w:kern w:val="0"/>
          <w:szCs w:val="21"/>
        </w:rPr>
        <w:t>方</w:t>
      </w:r>
      <w:r>
        <w:rPr>
          <w:rFonts w:hint="eastAsia" w:cs="微软雅黑" w:asciiTheme="minorEastAsia" w:hAnsiTheme="minorEastAsia" w:eastAsiaTheme="minorEastAsia"/>
          <w:kern w:val="0"/>
          <w:szCs w:val="21"/>
        </w:rPr>
        <w:t>应</w:t>
      </w:r>
      <w:r>
        <w:rPr>
          <w:rFonts w:hint="eastAsia" w:cs="微软雅黑" w:asciiTheme="minorEastAsia" w:hAnsiTheme="minorEastAsia" w:eastAsiaTheme="minorEastAsia"/>
          <w:spacing w:val="-2"/>
          <w:kern w:val="0"/>
          <w:szCs w:val="21"/>
        </w:rPr>
        <w:t>当</w:t>
      </w:r>
      <w:r>
        <w:rPr>
          <w:rFonts w:hint="eastAsia" w:cs="微软雅黑" w:asciiTheme="minorEastAsia" w:hAnsiTheme="minorEastAsia" w:eastAsiaTheme="minorEastAsia"/>
          <w:kern w:val="0"/>
          <w:szCs w:val="21"/>
        </w:rPr>
        <w:t>共</w:t>
      </w:r>
      <w:r>
        <w:rPr>
          <w:rFonts w:hint="eastAsia" w:cs="微软雅黑" w:asciiTheme="minorEastAsia" w:hAnsiTheme="minorEastAsia" w:eastAsiaTheme="minorEastAsia"/>
          <w:spacing w:val="-2"/>
          <w:kern w:val="0"/>
          <w:szCs w:val="21"/>
        </w:rPr>
        <w:t>同</w:t>
      </w:r>
      <w:r>
        <w:rPr>
          <w:rFonts w:hint="eastAsia" w:cs="微软雅黑" w:asciiTheme="minorEastAsia" w:hAnsiTheme="minorEastAsia" w:eastAsiaTheme="minorEastAsia"/>
          <w:kern w:val="0"/>
          <w:szCs w:val="21"/>
        </w:rPr>
        <w:t>与</w:t>
      </w:r>
      <w:r>
        <w:rPr>
          <w:rFonts w:hint="eastAsia" w:cs="微软雅黑" w:asciiTheme="minorEastAsia" w:hAnsiTheme="minorEastAsia" w:eastAsiaTheme="minorEastAsia"/>
          <w:spacing w:val="-2"/>
          <w:kern w:val="0"/>
          <w:szCs w:val="21"/>
        </w:rPr>
        <w:t>采购人</w:t>
      </w:r>
      <w:r>
        <w:rPr>
          <w:rFonts w:hint="eastAsia" w:cs="微软雅黑" w:asciiTheme="minorEastAsia" w:hAnsiTheme="minorEastAsia" w:eastAsiaTheme="minorEastAsia"/>
          <w:kern w:val="0"/>
          <w:szCs w:val="21"/>
        </w:rPr>
        <w:t>签订</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同</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就</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w:t>
      </w:r>
      <w:r>
        <w:rPr>
          <w:rFonts w:hint="eastAsia" w:cs="微软雅黑" w:asciiTheme="minorEastAsia" w:hAnsiTheme="minorEastAsia" w:eastAsiaTheme="minorEastAsia"/>
          <w:spacing w:val="-2"/>
          <w:kern w:val="0"/>
          <w:szCs w:val="21"/>
        </w:rPr>
        <w:t>项</w:t>
      </w:r>
      <w:r>
        <w:rPr>
          <w:rFonts w:hint="eastAsia" w:cs="微软雅黑" w:asciiTheme="minorEastAsia" w:hAnsiTheme="minorEastAsia" w:eastAsiaTheme="minorEastAsia"/>
          <w:kern w:val="0"/>
          <w:szCs w:val="21"/>
        </w:rPr>
        <w:t>目</w:t>
      </w:r>
      <w:r>
        <w:rPr>
          <w:rFonts w:hint="eastAsia" w:cs="微软雅黑" w:asciiTheme="minorEastAsia" w:hAnsiTheme="minorEastAsia" w:eastAsiaTheme="minorEastAsia"/>
          <w:spacing w:val="-2"/>
          <w:kern w:val="0"/>
          <w:szCs w:val="21"/>
        </w:rPr>
        <w:t>向</w:t>
      </w:r>
      <w:r>
        <w:rPr>
          <w:rFonts w:hint="eastAsia" w:cs="微软雅黑" w:asciiTheme="minorEastAsia" w:hAnsiTheme="minorEastAsia" w:eastAsiaTheme="minorEastAsia"/>
          <w:kern w:val="0"/>
          <w:szCs w:val="21"/>
        </w:rPr>
        <w:t>采购人承</w:t>
      </w:r>
      <w:r>
        <w:rPr>
          <w:rFonts w:hint="eastAsia" w:cs="微软雅黑" w:asciiTheme="minorEastAsia" w:hAnsiTheme="minorEastAsia" w:eastAsiaTheme="minorEastAsia"/>
          <w:spacing w:val="-2"/>
          <w:kern w:val="0"/>
          <w:szCs w:val="21"/>
        </w:rPr>
        <w:t>担</w:t>
      </w:r>
      <w:r>
        <w:rPr>
          <w:rFonts w:hint="eastAsia" w:cs="微软雅黑" w:asciiTheme="minorEastAsia" w:hAnsiTheme="minorEastAsia" w:eastAsiaTheme="minorEastAsia"/>
          <w:kern w:val="0"/>
          <w:szCs w:val="21"/>
        </w:rPr>
        <w:t>连带责</w:t>
      </w:r>
      <w:r>
        <w:rPr>
          <w:rFonts w:hint="eastAsia" w:cs="微软雅黑" w:asciiTheme="minorEastAsia" w:hAnsiTheme="minorEastAsia" w:eastAsiaTheme="minorEastAsia"/>
          <w:spacing w:val="-2"/>
          <w:kern w:val="0"/>
          <w:szCs w:val="21"/>
        </w:rPr>
        <w:t>任</w:t>
      </w:r>
      <w:r>
        <w:rPr>
          <w:rFonts w:hint="eastAsia" w:cs="微软雅黑" w:asciiTheme="minorEastAsia" w:hAnsiTheme="minorEastAsia" w:eastAsiaTheme="minorEastAsia"/>
          <w:kern w:val="0"/>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0</w:t>
      </w:r>
      <w:r>
        <w:rPr>
          <w:rFonts w:asciiTheme="minorEastAsia" w:hAnsiTheme="minorEastAsia" w:eastAsiaTheme="minorEastAsia"/>
          <w:szCs w:val="21"/>
        </w:rPr>
        <w:t>.4</w:t>
      </w:r>
      <w:r>
        <w:rPr>
          <w:rFonts w:hint="eastAsia" w:asciiTheme="minorEastAsia" w:hAnsiTheme="minorEastAsia" w:eastAsiaTheme="minorEastAsia"/>
          <w:szCs w:val="21"/>
        </w:rPr>
        <w:t>中标合同将在招标公告指定媒体上公告，但合同中涉及国家秘密、商业秘密的内容除外。</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30.5中标人</w:t>
      </w:r>
      <w:r>
        <w:rPr>
          <w:rFonts w:hint="eastAsia" w:asciiTheme="minorEastAsia" w:hAnsiTheme="minorEastAsia" w:eastAsiaTheme="minorEastAsia"/>
          <w:bCs/>
          <w:szCs w:val="21"/>
        </w:rPr>
        <w:t>应当按照合同约定依法履行合同义务。采购合同的履行、违约责任和解决争议的方法等适用《中华人民共和国合同法》。</w:t>
      </w:r>
    </w:p>
    <w:p>
      <w:pPr>
        <w:adjustRightInd w:val="0"/>
        <w:snapToGrid w:val="0"/>
        <w:spacing w:before="156" w:beforeLines="50" w:line="360" w:lineRule="auto"/>
        <w:jc w:val="left"/>
        <w:rPr>
          <w:rFonts w:cs="宋体" w:asciiTheme="minorEastAsia" w:hAnsiTheme="minorEastAsia" w:eastAsiaTheme="minorEastAsia"/>
          <w:b/>
          <w:kern w:val="0"/>
          <w:sz w:val="24"/>
        </w:rPr>
      </w:pPr>
      <w:r>
        <w:rPr>
          <w:rFonts w:hint="eastAsia" w:asciiTheme="minorEastAsia" w:hAnsiTheme="minorEastAsia" w:eastAsiaTheme="minorEastAsia"/>
          <w:b/>
          <w:bCs/>
          <w:sz w:val="24"/>
        </w:rPr>
        <w:t>31.</w:t>
      </w:r>
      <w:r>
        <w:rPr>
          <w:rFonts w:hint="eastAsia" w:cs="宋体" w:asciiTheme="minorEastAsia" w:hAnsiTheme="minorEastAsia" w:eastAsiaTheme="minorEastAsia"/>
          <w:b/>
          <w:kern w:val="0"/>
          <w:sz w:val="24"/>
        </w:rPr>
        <w:t xml:space="preserve"> 履约担保</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cs="宋体" w:asciiTheme="minorEastAsia" w:hAnsiTheme="minorEastAsia" w:eastAsiaTheme="minorEastAsia"/>
          <w:kern w:val="0"/>
          <w:szCs w:val="21"/>
        </w:rPr>
        <w:t>31.1</w:t>
      </w:r>
      <w:r>
        <w:rPr>
          <w:rFonts w:hint="eastAsia" w:asciiTheme="minorEastAsia" w:hAnsiTheme="minorEastAsia" w:eastAsiaTheme="minorEastAsia"/>
          <w:szCs w:val="21"/>
        </w:rPr>
        <w:t>招标文件要求中标人向采购人提交履约担保的，中标人应按照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的规定提交。联合体中标的，履约担保由联合体各方或联合体中牵头人的名义提交。</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31.2中标人</w:t>
      </w:r>
      <w:r>
        <w:rPr>
          <w:rFonts w:hint="eastAsia" w:asciiTheme="minorEastAsia" w:hAnsiTheme="minorEastAsia" w:eastAsiaTheme="minorEastAsia"/>
          <w:spacing w:val="4"/>
          <w:szCs w:val="21"/>
        </w:rPr>
        <w:t>没有按照本章第31.1</w:t>
      </w:r>
      <w:r>
        <w:rPr>
          <w:rFonts w:hint="eastAsia" w:cs="宋体" w:asciiTheme="minorEastAsia" w:hAnsiTheme="minorEastAsia" w:eastAsiaTheme="minorEastAsia"/>
          <w:kern w:val="0"/>
          <w:szCs w:val="21"/>
          <w:lang w:val="zh-CN"/>
        </w:rPr>
        <w:t>款</w:t>
      </w:r>
      <w:r>
        <w:rPr>
          <w:rFonts w:hint="eastAsia" w:asciiTheme="minorEastAsia" w:hAnsiTheme="minorEastAsia" w:eastAsiaTheme="minorEastAsia"/>
          <w:spacing w:val="4"/>
          <w:szCs w:val="21"/>
        </w:rPr>
        <w:t>规定</w:t>
      </w:r>
      <w:r>
        <w:rPr>
          <w:rFonts w:hint="eastAsia" w:asciiTheme="minorEastAsia" w:hAnsiTheme="minorEastAsia" w:eastAsiaTheme="minorEastAsia"/>
          <w:szCs w:val="21"/>
        </w:rPr>
        <w:t>提交履约担保的</w:t>
      </w:r>
      <w:r>
        <w:rPr>
          <w:rFonts w:hint="eastAsia" w:asciiTheme="minorEastAsia" w:hAnsiTheme="minorEastAsia" w:eastAsiaTheme="minorEastAsia"/>
          <w:spacing w:val="4"/>
          <w:szCs w:val="21"/>
        </w:rPr>
        <w:t>，视为</w:t>
      </w:r>
      <w:r>
        <w:rPr>
          <w:rFonts w:hint="eastAsia" w:asciiTheme="minorEastAsia" w:hAnsiTheme="minorEastAsia" w:eastAsiaTheme="minorEastAsia"/>
          <w:b/>
          <w:spacing w:val="4"/>
          <w:szCs w:val="21"/>
        </w:rPr>
        <w:t>放弃中标</w:t>
      </w:r>
      <w:r>
        <w:rPr>
          <w:rFonts w:hint="eastAsia" w:asciiTheme="minorEastAsia" w:hAnsiTheme="minorEastAsia" w:eastAsiaTheme="minorEastAsia"/>
          <w:spacing w:val="4"/>
          <w:szCs w:val="21"/>
        </w:rPr>
        <w:t>，</w:t>
      </w:r>
      <w:r>
        <w:rPr>
          <w:rFonts w:hint="eastAsia" w:asciiTheme="minorEastAsia" w:hAnsiTheme="minorEastAsia" w:eastAsiaTheme="minorEastAsia"/>
          <w:spacing w:val="2"/>
          <w:szCs w:val="21"/>
        </w:rPr>
        <w:t>其投标保证金不予退还。</w:t>
      </w:r>
    </w:p>
    <w:p>
      <w:pPr>
        <w:adjustRightInd w:val="0"/>
        <w:snapToGrid w:val="0"/>
        <w:spacing w:before="156"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32.</w:t>
      </w:r>
      <w:r>
        <w:rPr>
          <w:rFonts w:hint="eastAsia" w:asciiTheme="minorEastAsia" w:hAnsiTheme="minorEastAsia" w:eastAsiaTheme="minorEastAsia"/>
          <w:b/>
          <w:sz w:val="24"/>
        </w:rPr>
        <w:t xml:space="preserve"> 采购合同履行中</w:t>
      </w:r>
      <w:r>
        <w:rPr>
          <w:rFonts w:hint="eastAsia" w:asciiTheme="minorEastAsia" w:hAnsiTheme="minorEastAsia" w:eastAsiaTheme="minorEastAsia"/>
          <w:b/>
          <w:bCs/>
          <w:sz w:val="24"/>
        </w:rPr>
        <w:t>数量的变更</w:t>
      </w:r>
    </w:p>
    <w:p>
      <w:pPr>
        <w:adjustRightInd w:val="0"/>
        <w:snapToGrid w:val="0"/>
        <w:spacing w:before="156" w:beforeLines="50" w:line="360" w:lineRule="auto"/>
        <w:ind w:firstLine="420" w:firstLineChars="200"/>
        <w:jc w:val="left"/>
        <w:rPr>
          <w:rFonts w:asciiTheme="minorEastAsia" w:hAnsiTheme="minorEastAsia" w:eastAsiaTheme="minorEastAsia"/>
          <w:sz w:val="28"/>
          <w:szCs w:val="28"/>
        </w:rPr>
      </w:pPr>
      <w:r>
        <w:rPr>
          <w:rFonts w:hint="eastAsia" w:asciiTheme="minorEastAsia" w:hAnsiTheme="minorEastAsia" w:eastAsiaTheme="minorEastAsia"/>
        </w:rPr>
        <w:t>32.1采购合同履行中，采购人需追加与合同标的相同的货物服务的，在不改变合同其他条款的前提下，可以与中标人协商签订补充合同，但所有补充合同的采购金额不得超过原合同采购金额的百分之十。</w:t>
      </w:r>
    </w:p>
    <w:p>
      <w:pPr>
        <w:pStyle w:val="5"/>
        <w:adjustRightInd w:val="0"/>
        <w:snapToGrid w:val="0"/>
        <w:spacing w:before="156" w:beforeLines="50" w:after="0" w:line="360" w:lineRule="auto"/>
        <w:jc w:val="center"/>
        <w:rPr>
          <w:rFonts w:ascii="黑体" w:hAnsi="黑体" w:eastAsia="黑体"/>
          <w:sz w:val="28"/>
          <w:szCs w:val="28"/>
        </w:rPr>
      </w:pPr>
      <w:bookmarkStart w:id="59" w:name="_Toc20651203"/>
      <w:r>
        <w:rPr>
          <w:rFonts w:hint="eastAsia" w:ascii="黑体" w:hAnsi="黑体" w:eastAsia="黑体"/>
          <w:sz w:val="28"/>
          <w:szCs w:val="28"/>
        </w:rPr>
        <w:t>八、采购政策</w:t>
      </w:r>
      <w:bookmarkEnd w:id="59"/>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33.</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采购政策</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33.1优先采购：</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zCs w:val="21"/>
        </w:rPr>
        <w:t>纳入财政部会同国务院有关部门发布的节能产品、环境标志产品政府采购品目清单，实施政府优先采购的，评审时按招标文件第四章第一节有关规定给予一定比例的价格折扣或者加分；</w:t>
      </w:r>
      <w:r>
        <w:rPr>
          <w:rFonts w:asciiTheme="minorEastAsia" w:hAnsiTheme="minorEastAsia" w:eastAsiaTheme="minorEastAsia"/>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（2）纳入湖南省财政厅等有关部门发布的湖南省两型产品政府采购目录的，实施政府优先采购，评审时按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给予一定比例的价格折扣或者加分。</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33.2强制采购：</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符号产品），投标人投标产品应当取得国家确定的认证机构出具的、处于有效期之内的节能产品认证证书，否则其</w:t>
      </w:r>
      <w:r>
        <w:rPr>
          <w:rFonts w:hint="eastAsia" w:cs="宋体" w:asciiTheme="minorEastAsia" w:hAnsiTheme="minorEastAsia" w:eastAsiaTheme="minorEastAsia"/>
          <w:b/>
          <w:kern w:val="0"/>
          <w:szCs w:val="21"/>
        </w:rPr>
        <w:t>投标无效</w:t>
      </w:r>
      <w:r>
        <w:rPr>
          <w:rFonts w:hint="eastAsia" w:cs="宋体" w:asciiTheme="minorEastAsia" w:hAnsiTheme="minorEastAsia" w:eastAsiaTheme="minorEastAsia"/>
          <w:kern w:val="0"/>
        </w:rPr>
        <w:t>。</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33.3价格评审优惠：</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（1）投标人为小型、微型企业，且提供本企业生产的货物或者提供其他小型、微型企业生产的货物，投标价格按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给予一定比例的价格折扣，用扣除后的价格参与评审。本项所称货物不包括使用大型企业注册商标的货物；</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（2）小型、微型企业参加联合体投标并在联合体协议中明确其在合同金额占联合体合同总金额 30%以上的，该联合体投标价格按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给予一定比例的价格折扣，用扣除后的价格参与评审。联合体各方均为小型、微型企业的，联合体视同为小型、微型企业；</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（3）监狱企业、残</w:t>
      </w:r>
      <w:r>
        <w:rPr>
          <w:rFonts w:hint="eastAsia" w:asciiTheme="minorEastAsia" w:hAnsiTheme="minorEastAsia" w:eastAsiaTheme="minorEastAsia"/>
          <w:szCs w:val="21"/>
        </w:rPr>
        <w:t>疾人福利性单位视同小型、微型企业，享受评审中价格扣除等促进中小企业发展的政府采购政策。</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33.4政府采购政策交叉与叠加</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（1）投标产品取得两个及以上优先采购产品认证的，评审时只有其中一项产品能享受优先采购优惠（投标人自行选择，并在投标文件中并填报相关信息及数据）</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（2）投标人同时符合小型、微型企业及监狱企业、残疾人福利性单位要求的，评审时只有一种类型享受价格评审优惠政策；</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（3）小型和微型企业的价格评审优惠可以与同时属于“节能产品”、“环境标志产品”及“两型产品”中的一项优先采购优惠累加计算。</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33.5小型、微型企业的投标人提供部分小型、微型企业制造的产品，以及部分投标产品属于优先采购的，评审时只对该部分产品的报价实行价格扣除及加分。投标人应按本章第33.6款规定提供相关证明资料（包括提供相关报价）。</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33.6投标人符合本章第33.1款、第33.2款、第33.3款规定的，应提供相关证明资料。</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（1）节能产品、环境标志产品：提供国家确定的认证机构出具的、处于有效期之内的节能产品、环境标志产品认证证书（复印件）。</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（2）两型产品：提供《湖南省两型产品政府采购目录》（最新一期）文件首页和投标产品所在页（截图）。</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（3）中小企业：按《关于印发＜政府采购促进中小企业发展暂行办法＞的通知》(财库[2011]181号)规定，投标人提供《小型、微型企业声明函》（格式）。</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33.7投标人有融资、担保需求的，可登陆中国湖南政府采购网查询相关银行、担保机构业务。</w:t>
      </w:r>
    </w:p>
    <w:p>
      <w:pPr>
        <w:pStyle w:val="5"/>
        <w:adjustRightInd w:val="0"/>
        <w:snapToGrid w:val="0"/>
        <w:spacing w:before="156" w:beforeLines="50" w:after="0" w:line="360" w:lineRule="auto"/>
        <w:jc w:val="center"/>
        <w:rPr>
          <w:rFonts w:ascii="黑体" w:hAnsi="黑体" w:eastAsia="黑体"/>
          <w:sz w:val="28"/>
          <w:szCs w:val="28"/>
        </w:rPr>
      </w:pPr>
      <w:bookmarkStart w:id="60" w:name="_Toc20651204"/>
      <w:r>
        <w:rPr>
          <w:rFonts w:hint="eastAsia" w:ascii="黑体" w:hAnsi="黑体" w:eastAsia="黑体"/>
          <w:sz w:val="28"/>
          <w:szCs w:val="28"/>
        </w:rPr>
        <w:t>九、其他规定</w:t>
      </w:r>
      <w:bookmarkEnd w:id="60"/>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34.</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招标不足三家处理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34.1公开招标数额标准以上的采购项目，投标截止后投标人不足3家或者通过资格审查或符合性审查的投标人不足3家的，除采购任务取消情形外，按照以下方式处理：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（1）招标文件存在不合理条款或者招标程序不符合规定的，采购人、采购代理机构改正后依法重新招标；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（2）招标文件没有不合理条款、招标程序符合规定，需要采用其他采购方式采购的，采购人应当依法报财政部门批准。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34.2属上款第（2）项情形的，评标委员会应出具的招标文件没有不合理条款的论证意见。</w:t>
      </w:r>
    </w:p>
    <w:p>
      <w:pPr>
        <w:adjustRightInd w:val="0"/>
        <w:snapToGrid w:val="0"/>
        <w:spacing w:before="156"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35.</w:t>
      </w:r>
      <w:r>
        <w:rPr>
          <w:rFonts w:hint="eastAsia" w:asciiTheme="minorEastAsia" w:hAnsiTheme="minorEastAsia" w:eastAsiaTheme="minorEastAsia"/>
          <w:b/>
          <w:sz w:val="24"/>
        </w:rPr>
        <w:t xml:space="preserve"> 招标代理服务费</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35.1招标代理服务费由中标人支付的，投标人应按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规定向采购代理机构交纳招标代理服务费，并在投标文件中提供中标服务费承诺书。</w:t>
      </w:r>
    </w:p>
    <w:p>
      <w:pPr>
        <w:adjustRightInd w:val="0"/>
        <w:snapToGrid w:val="0"/>
        <w:spacing w:before="156" w:beforeLines="50" w:line="360" w:lineRule="auto"/>
        <w:jc w:val="left"/>
        <w:rPr>
          <w:rFonts w:asciiTheme="minorEastAsia" w:hAnsiTheme="minorEastAsia" w:eastAsiaTheme="minorEastAsia"/>
          <w:b/>
          <w:sz w:val="24"/>
        </w:rPr>
      </w:pPr>
      <w:r>
        <w:rPr>
          <w:rFonts w:hint="eastAsia" w:cs="宋体" w:asciiTheme="minorEastAsia" w:hAnsiTheme="minorEastAsia" w:eastAsiaTheme="minorEastAsia"/>
          <w:b/>
          <w:kern w:val="0"/>
          <w:sz w:val="24"/>
        </w:rPr>
        <w:t>36.</w:t>
      </w:r>
      <w:r>
        <w:rPr>
          <w:rFonts w:hint="eastAsia" w:asciiTheme="minorEastAsia" w:hAnsiTheme="minorEastAsia" w:eastAsiaTheme="minorEastAsia"/>
          <w:b/>
          <w:sz w:val="24"/>
        </w:rPr>
        <w:t xml:space="preserve"> 需要补充的其他内容</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rPr>
        <w:t>36.1招标文件需要补充的其</w:t>
      </w:r>
      <w:r>
        <w:rPr>
          <w:rFonts w:hint="eastAsia" w:asciiTheme="minorEastAsia" w:hAnsiTheme="minorEastAsia" w:eastAsiaTheme="minorEastAsia"/>
          <w:szCs w:val="21"/>
        </w:rPr>
        <w:t>他内容见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pPr>
        <w:pStyle w:val="22"/>
        <w:adjustRightInd w:val="0"/>
        <w:snapToGrid w:val="0"/>
        <w:spacing w:line="360" w:lineRule="auto"/>
        <w:jc w:val="center"/>
        <w:outlineLvl w:val="0"/>
        <w:rPr>
          <w:rFonts w:ascii="黑体" w:hAnsi="华文中宋" w:eastAsia="黑体"/>
          <w:bCs/>
          <w:w w:val="90"/>
          <w:sz w:val="32"/>
          <w:szCs w:val="32"/>
        </w:rPr>
      </w:pPr>
      <w:r>
        <w:rPr>
          <w:rFonts w:hAnsi="宋体"/>
        </w:rPr>
        <w:br w:type="page"/>
      </w:r>
    </w:p>
    <w:p>
      <w:pPr>
        <w:pStyle w:val="3"/>
        <w:rPr>
          <w:rFonts w:ascii="黑体" w:hAnsi="黑体" w:eastAsia="黑体"/>
          <w:sz w:val="32"/>
          <w:szCs w:val="32"/>
        </w:rPr>
      </w:pPr>
      <w:bookmarkStart w:id="61" w:name="_Toc20651205"/>
      <w:r>
        <w:rPr>
          <w:rFonts w:hint="eastAsia" w:ascii="黑体" w:hAnsi="黑体" w:eastAsia="黑体"/>
          <w:sz w:val="32"/>
          <w:szCs w:val="32"/>
        </w:rPr>
        <w:t>第三章 资格审查</w:t>
      </w:r>
      <w:bookmarkEnd w:id="61"/>
    </w:p>
    <w:p>
      <w:pPr>
        <w:pStyle w:val="5"/>
        <w:adjustRightInd w:val="0"/>
        <w:snapToGrid w:val="0"/>
        <w:spacing w:before="156" w:beforeLines="50" w:after="0" w:line="360" w:lineRule="auto"/>
        <w:rPr>
          <w:rFonts w:ascii="黑体" w:hAnsi="黑体" w:eastAsia="黑体"/>
          <w:sz w:val="24"/>
          <w:szCs w:val="24"/>
        </w:rPr>
      </w:pPr>
      <w:bookmarkStart w:id="62" w:name="_Toc20651206"/>
      <w:r>
        <w:rPr>
          <w:rFonts w:hint="eastAsia" w:ascii="黑体" w:hAnsi="黑体" w:eastAsia="黑体"/>
          <w:sz w:val="24"/>
          <w:szCs w:val="24"/>
        </w:rPr>
        <w:t>1．资格审查主体</w:t>
      </w:r>
      <w:bookmarkEnd w:id="62"/>
    </w:p>
    <w:p>
      <w:pPr>
        <w:adjustRightInd w:val="0"/>
        <w:snapToGrid w:val="0"/>
        <w:spacing w:before="156" w:beforeLines="50" w:line="360" w:lineRule="auto"/>
        <w:ind w:firstLine="417" w:firstLineChars="199"/>
        <w:jc w:val="left"/>
        <w:rPr>
          <w:rFonts w:asciiTheme="minorEastAsia" w:hAnsiTheme="minorEastAsia" w:eastAsiaTheme="minorEastAsia"/>
          <w:szCs w:val="21"/>
        </w:rPr>
      </w:pPr>
      <w:r>
        <w:rPr>
          <w:rFonts w:hint="eastAsia" w:asciiTheme="minorEastAsia" w:hAnsiTheme="minorEastAsia" w:eastAsiaTheme="minorEastAsia"/>
          <w:szCs w:val="21"/>
        </w:rPr>
        <w:t>1.1资格审查主体：采购人、采购代理机构负责资格审查。</w:t>
      </w:r>
    </w:p>
    <w:p>
      <w:pPr>
        <w:pStyle w:val="5"/>
        <w:adjustRightInd w:val="0"/>
        <w:snapToGrid w:val="0"/>
        <w:spacing w:before="156" w:beforeLines="50" w:after="0" w:line="360" w:lineRule="auto"/>
        <w:rPr>
          <w:rFonts w:ascii="黑体" w:hAnsi="黑体" w:eastAsia="黑体"/>
          <w:sz w:val="24"/>
          <w:szCs w:val="24"/>
        </w:rPr>
      </w:pPr>
      <w:bookmarkStart w:id="63" w:name="_Toc20651207"/>
      <w:r>
        <w:rPr>
          <w:rFonts w:hint="eastAsia" w:ascii="黑体" w:hAnsi="黑体" w:eastAsia="黑体"/>
          <w:sz w:val="24"/>
          <w:szCs w:val="24"/>
        </w:rPr>
        <w:t>2．资格审查</w:t>
      </w:r>
      <w:bookmarkEnd w:id="63"/>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2.1资格审查依据法律法规和招标文件的规定，对投标文件中的资格证明文件、投标保证金、投标报价等进行审查，以确定投标供应商是否具备投标资格。</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2.2采购人、采购代理机构按本章附表1“资格审查表”所列审查项目及审查标准，对投标人资格进行审查。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2.3在资格审查时，投标人存在下列情况之一的，资格审查不合格，其投标无效：</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（1）不具备招标文件中规定的资格要求的，或提交的资格证明文件不符合招标文件要求的；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（2）联合体投标未提交联合体协议书，或未提交联合体各方资格证明文件的；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（3）投标文件的资格证明文件未按照招标文件要求签署、盖章的；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（4）未按照招标文件的规定提交投标保证金的。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（5）投标报价超过招标文件中规定的预算金额或者最高限价的；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（6）法律、法规和招标文件规定的其他投标无效情形的。</w:t>
      </w:r>
    </w:p>
    <w:p>
      <w:pPr>
        <w:adjustRightInd w:val="0"/>
        <w:snapToGrid w:val="0"/>
        <w:spacing w:before="156" w:beforeLines="50" w:line="360" w:lineRule="auto"/>
        <w:ind w:firstLine="420" w:firstLineChars="200"/>
        <w:jc w:val="left"/>
        <w:rPr>
          <w:rFonts w:asciiTheme="minorEastAsia" w:hAnsiTheme="minorEastAsia" w:eastAsiaTheme="minorEastAsia"/>
          <w:b/>
          <w:sz w:val="32"/>
          <w:szCs w:val="32"/>
        </w:rPr>
      </w:pPr>
      <w:r>
        <w:rPr>
          <w:rFonts w:hint="eastAsia" w:asciiTheme="minorEastAsia" w:hAnsiTheme="minorEastAsia" w:eastAsiaTheme="minorEastAsia"/>
        </w:rPr>
        <w:t>2.4信用记录。开标结束后</w:t>
      </w:r>
      <w:r>
        <w:rPr>
          <w:rFonts w:hint="eastAsia" w:asciiTheme="minorEastAsia" w:hAnsiTheme="minorEastAsia" w:eastAsiaTheme="minorEastAsia"/>
          <w:szCs w:val="21"/>
        </w:rPr>
        <w:t>资格审查时，采购人、采购代理机构将对投标人信用记录进行甄别。</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（1）信用信息查询的查询渠道：信用中国网（www.creditchina.gov.cn）、中国政府采购网（www.ccgp.gov.cn）；</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（3）联合体形式投标的，联合体成员存在不良信用记录的，视同联合体存在不良信用记录。</w:t>
      </w:r>
    </w:p>
    <w:p>
      <w:pPr>
        <w:adjustRightInd w:val="0"/>
        <w:snapToGrid w:val="0"/>
        <w:spacing w:before="156" w:beforeLines="50" w:line="360" w:lineRule="auto"/>
        <w:ind w:firstLine="420" w:firstLineChars="200"/>
        <w:jc w:val="left"/>
        <w:rPr>
          <w:rFonts w:asciiTheme="minorEastAsia" w:hAnsiTheme="minorEastAsia" w:eastAsiaTheme="minorEastAsia"/>
          <w:color w:val="FF0000"/>
          <w:szCs w:val="21"/>
        </w:rPr>
      </w:pPr>
      <w:r>
        <w:rPr>
          <w:rFonts w:hint="eastAsia" w:asciiTheme="minorEastAsia" w:hAnsiTheme="minorEastAsia" w:eastAsiaTheme="minorEastAsia"/>
          <w:szCs w:val="21"/>
        </w:rPr>
        <w:t>（4）信用信息查询记录和证据留存具体方式：</w:t>
      </w:r>
      <w:r>
        <w:rPr>
          <w:rFonts w:hint="eastAsia" w:ascii="宋体" w:hAnsi="宋体"/>
          <w:szCs w:val="21"/>
        </w:rPr>
        <w:t>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pPr>
        <w:pStyle w:val="5"/>
        <w:adjustRightInd w:val="0"/>
        <w:snapToGrid w:val="0"/>
        <w:spacing w:before="156" w:beforeLines="50" w:after="0" w:line="360" w:lineRule="auto"/>
        <w:rPr>
          <w:rFonts w:ascii="黑体" w:hAnsi="黑体" w:eastAsia="黑体"/>
          <w:sz w:val="24"/>
          <w:szCs w:val="24"/>
        </w:rPr>
      </w:pPr>
      <w:bookmarkStart w:id="64" w:name="_Toc20651208"/>
      <w:r>
        <w:rPr>
          <w:rFonts w:hint="eastAsia" w:ascii="黑体" w:hAnsi="黑体" w:eastAsia="黑体"/>
          <w:sz w:val="24"/>
          <w:szCs w:val="24"/>
        </w:rPr>
        <w:t>3．资格审查结果</w:t>
      </w:r>
      <w:bookmarkEnd w:id="64"/>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3.1未通过资格审查的投标人，采购人、采购代理机构应当告知其未通过的原因。</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3.2资格审查结束后，采购人、采购代理机构应将资格审查结果告知评标委员会。</w:t>
      </w:r>
    </w:p>
    <w:p>
      <w:pPr>
        <w:pStyle w:val="5"/>
        <w:adjustRightInd w:val="0"/>
        <w:snapToGrid w:val="0"/>
        <w:spacing w:before="50" w:after="0" w:line="360" w:lineRule="auto"/>
        <w:rPr>
          <w:rFonts w:ascii="黑体" w:hAnsi="黑体" w:eastAsia="黑体"/>
          <w:sz w:val="24"/>
          <w:szCs w:val="24"/>
        </w:rPr>
      </w:pPr>
      <w:bookmarkStart w:id="65" w:name="_Toc20651209"/>
      <w:r>
        <w:rPr>
          <w:rFonts w:hint="eastAsia" w:ascii="黑体" w:hAnsi="黑体" w:eastAsia="黑体"/>
          <w:sz w:val="24"/>
          <w:szCs w:val="24"/>
        </w:rPr>
        <w:t>4．其他</w:t>
      </w:r>
      <w:bookmarkEnd w:id="65"/>
    </w:p>
    <w:p>
      <w:pPr>
        <w:adjustRightInd w:val="0"/>
        <w:snapToGrid w:val="0"/>
        <w:spacing w:before="156" w:beforeLines="50" w:line="360" w:lineRule="auto"/>
        <w:ind w:firstLine="420" w:firstLineChars="200"/>
        <w:jc w:val="left"/>
        <w:rPr>
          <w:rFonts w:ascii="华文中宋" w:hAnsi="华文中宋" w:eastAsia="华文中宋"/>
          <w:b/>
          <w:bCs/>
          <w:sz w:val="32"/>
        </w:rPr>
      </w:pPr>
      <w:r>
        <w:rPr>
          <w:rFonts w:hint="eastAsia" w:asciiTheme="minorEastAsia" w:hAnsiTheme="minorEastAsia" w:eastAsiaTheme="minorEastAsia"/>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ascii="华文中宋" w:hAnsi="华文中宋" w:eastAsia="华文中宋"/>
        </w:rPr>
        <w:br w:type="page"/>
      </w:r>
    </w:p>
    <w:p>
      <w:pPr>
        <w:pStyle w:val="6"/>
        <w:adjustRightInd w:val="0"/>
        <w:snapToGrid w:val="0"/>
        <w:spacing w:before="0" w:after="0" w:line="360" w:lineRule="auto"/>
        <w:rPr>
          <w:rFonts w:asciiTheme="minorEastAsia" w:hAnsiTheme="minorEastAsia" w:eastAsiaTheme="minorEastAsia"/>
          <w:sz w:val="21"/>
          <w:szCs w:val="21"/>
        </w:rPr>
      </w:pPr>
      <w:bookmarkStart w:id="66" w:name="_Toc20651210"/>
      <w:r>
        <w:rPr>
          <w:rFonts w:hint="eastAsia" w:asciiTheme="minorEastAsia" w:hAnsiTheme="minorEastAsia" w:eastAsiaTheme="minorEastAsia"/>
          <w:sz w:val="21"/>
          <w:szCs w:val="21"/>
        </w:rPr>
        <w:t>附表1</w:t>
      </w:r>
      <w:r>
        <w:rPr>
          <w:rFonts w:asciiTheme="minorEastAsia" w:hAnsiTheme="minorEastAsia" w:eastAsiaTheme="minorEastAsia"/>
          <w:sz w:val="21"/>
          <w:szCs w:val="21"/>
        </w:rPr>
        <w:t>资格审查表</w:t>
      </w:r>
      <w:bookmarkEnd w:id="66"/>
    </w:p>
    <w:p>
      <w:pPr>
        <w:adjustRightInd w:val="0"/>
        <w:snapToGrid w:val="0"/>
        <w:spacing w:line="360" w:lineRule="auto"/>
        <w:jc w:val="center"/>
        <w:rPr>
          <w:rFonts w:ascii="黑体" w:hAnsi="黑体" w:eastAsia="黑体"/>
          <w:b/>
          <w:sz w:val="28"/>
          <w:szCs w:val="28"/>
        </w:rPr>
      </w:pPr>
      <w:r>
        <w:rPr>
          <w:rFonts w:ascii="黑体" w:hAnsi="黑体" w:eastAsia="黑体"/>
          <w:b/>
          <w:sz w:val="28"/>
          <w:szCs w:val="28"/>
        </w:rPr>
        <w:t>资格审查表</w:t>
      </w:r>
    </w:p>
    <w:p>
      <w:pPr>
        <w:adjustRightInd w:val="0"/>
        <w:snapToGrid w:val="0"/>
        <w:spacing w:line="360" w:lineRule="auto"/>
        <w:rPr>
          <w:rFonts w:ascii="黑体" w:hAnsi="黑体" w:eastAsia="黑体"/>
          <w:sz w:val="28"/>
          <w:szCs w:val="28"/>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5380"/>
        <w:gridCol w:w="299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5380"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5380" w:type="dxa"/>
          </w:tcPr>
          <w:p>
            <w:pPr>
              <w:adjustRightInd w:val="0"/>
              <w:snapToGrid w:val="0"/>
              <w:spacing w:before="156" w:beforeLines="50" w:line="360" w:lineRule="auto"/>
              <w:jc w:val="left"/>
              <w:rPr>
                <w:rFonts w:cs="宋体"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5380" w:type="dxa"/>
          </w:tcPr>
          <w:p>
            <w:pPr>
              <w:adjustRightInd w:val="0"/>
              <w:snapToGrid w:val="0"/>
              <w:spacing w:before="156" w:beforeLines="50" w:line="360" w:lineRule="auto"/>
              <w:jc w:val="left"/>
              <w:rPr>
                <w:rFonts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9</w:t>
            </w:r>
          </w:p>
        </w:tc>
        <w:tc>
          <w:tcPr>
            <w:tcW w:w="5380" w:type="dxa"/>
          </w:tcPr>
          <w:p>
            <w:pPr>
              <w:adjustRightInd w:val="0"/>
              <w:snapToGrid w:val="0"/>
              <w:spacing w:before="156" w:beforeLines="50" w:line="360" w:lineRule="auto"/>
              <w:jc w:val="left"/>
              <w:rPr>
                <w:rFonts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10</w:t>
            </w:r>
          </w:p>
        </w:tc>
        <w:tc>
          <w:tcPr>
            <w:tcW w:w="5380" w:type="dxa"/>
            <w:vAlign w:val="center"/>
          </w:tcPr>
          <w:p>
            <w:pPr>
              <w:adjustRightInd w:val="0"/>
              <w:snapToGrid w:val="0"/>
              <w:spacing w:before="156" w:beforeLines="50" w:line="360" w:lineRule="auto"/>
              <w:rPr>
                <w:rFonts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5380" w:type="dxa"/>
          </w:tcPr>
          <w:p>
            <w:pPr>
              <w:adjustRightInd w:val="0"/>
              <w:snapToGrid w:val="0"/>
              <w:spacing w:before="156" w:beforeLines="50" w:line="360" w:lineRule="auto"/>
              <w:jc w:val="left"/>
              <w:rPr>
                <w:rFonts w:asciiTheme="minorEastAsia" w:hAnsiTheme="minorEastAsia" w:eastAsiaTheme="minorEastAsia"/>
                <w:kern w:val="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12</w:t>
            </w:r>
          </w:p>
        </w:tc>
        <w:tc>
          <w:tcPr>
            <w:tcW w:w="5380" w:type="dxa"/>
          </w:tcPr>
          <w:p>
            <w:pPr>
              <w:adjustRightInd w:val="0"/>
              <w:snapToGrid w:val="0"/>
              <w:spacing w:before="156" w:beforeLines="50" w:line="360" w:lineRule="auto"/>
              <w:jc w:val="left"/>
              <w:rPr>
                <w:rFonts w:asciiTheme="minorEastAsia" w:hAnsiTheme="minorEastAsia" w:eastAsiaTheme="minorEastAsia"/>
                <w:kern w:val="0"/>
                <w:sz w:val="2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13</w:t>
            </w:r>
          </w:p>
        </w:tc>
        <w:tc>
          <w:tcPr>
            <w:tcW w:w="5380" w:type="dxa"/>
          </w:tcPr>
          <w:p>
            <w:pPr>
              <w:adjustRightInd w:val="0"/>
              <w:snapToGrid w:val="0"/>
              <w:spacing w:before="156" w:beforeLines="50" w:line="360" w:lineRule="auto"/>
              <w:jc w:val="left"/>
              <w:rPr>
                <w:rFonts w:asciiTheme="minorEastAsia" w:hAnsiTheme="minorEastAsia" w:eastAsiaTheme="minorEastAsia"/>
                <w:kern w:val="0"/>
                <w:sz w:val="2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14</w:t>
            </w:r>
          </w:p>
        </w:tc>
        <w:tc>
          <w:tcPr>
            <w:tcW w:w="5380" w:type="dxa"/>
            <w:vAlign w:val="center"/>
          </w:tcPr>
          <w:p>
            <w:pPr>
              <w:adjustRightInd w:val="0"/>
              <w:snapToGrid w:val="0"/>
              <w:spacing w:before="156" w:beforeLines="50" w:line="360" w:lineRule="auto"/>
              <w:rPr>
                <w:rFonts w:asciiTheme="minorEastAsia" w:hAnsiTheme="minorEastAsia" w:eastAsiaTheme="minorEastAsia"/>
                <w:kern w:val="0"/>
                <w:sz w:val="2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15</w:t>
            </w:r>
          </w:p>
        </w:tc>
        <w:tc>
          <w:tcPr>
            <w:tcW w:w="5380" w:type="dxa"/>
            <w:vAlign w:val="center"/>
          </w:tcPr>
          <w:p>
            <w:pPr>
              <w:adjustRightInd w:val="0"/>
              <w:snapToGrid w:val="0"/>
              <w:spacing w:before="156" w:beforeLines="50" w:line="360" w:lineRule="auto"/>
              <w:rPr>
                <w:rFonts w:asciiTheme="minorEastAsia" w:hAnsiTheme="minorEastAsia" w:eastAsiaTheme="minorEastAsia"/>
                <w:kern w:val="0"/>
                <w:sz w:val="20"/>
                <w:szCs w:val="21"/>
              </w:rPr>
            </w:pPr>
          </w:p>
        </w:tc>
        <w:tc>
          <w:tcPr>
            <w:tcW w:w="2997"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asciiTheme="minorEastAsia" w:hAnsiTheme="minorEastAsia" w:eastAsiaTheme="minorEastAsia"/>
                <w:kern w:val="0"/>
                <w:sz w:val="20"/>
                <w:szCs w:val="21"/>
              </w:rPr>
              <w:t>结论</w:t>
            </w:r>
          </w:p>
        </w:tc>
        <w:tc>
          <w:tcPr>
            <w:tcW w:w="8377" w:type="dxa"/>
            <w:gridSpan w:val="2"/>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bl>
    <w:p/>
    <w:p>
      <w:pPr>
        <w:widowControl/>
        <w:jc w:val="left"/>
        <w:rPr>
          <w:rFonts w:ascii="黑体" w:hAnsi="黑体" w:eastAsia="黑体"/>
          <w:bCs/>
          <w:szCs w:val="21"/>
        </w:rPr>
      </w:pPr>
      <w:r>
        <w:rPr>
          <w:rFonts w:ascii="黑体" w:hAnsi="黑体"/>
          <w:b/>
          <w:szCs w:val="21"/>
        </w:rPr>
        <w:br w:type="page"/>
      </w:r>
    </w:p>
    <w:p>
      <w:pPr>
        <w:pStyle w:val="6"/>
        <w:adjustRightInd w:val="0"/>
        <w:snapToGrid w:val="0"/>
        <w:spacing w:before="0" w:after="0" w:line="360" w:lineRule="auto"/>
        <w:rPr>
          <w:rFonts w:ascii="黑体" w:hAnsi="黑体"/>
          <w:b w:val="0"/>
          <w:sz w:val="21"/>
          <w:szCs w:val="21"/>
        </w:rPr>
      </w:pPr>
      <w:bookmarkStart w:id="67" w:name="_Toc20651211"/>
      <w:r>
        <w:rPr>
          <w:rFonts w:hint="eastAsia" w:ascii="黑体" w:hAnsi="黑体"/>
          <w:b w:val="0"/>
          <w:sz w:val="21"/>
          <w:szCs w:val="21"/>
        </w:rPr>
        <w:t>附表2 资格审查结果一览表</w:t>
      </w:r>
      <w:bookmarkEnd w:id="67"/>
    </w:p>
    <w:p>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资格审查结果一览表</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资格审查结果</w:t>
            </w:r>
          </w:p>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资格审查不合格原因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bl>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pStyle w:val="6"/>
        <w:adjustRightInd w:val="0"/>
        <w:snapToGrid w:val="0"/>
        <w:spacing w:before="0" w:after="0" w:line="360" w:lineRule="auto"/>
        <w:rPr>
          <w:rFonts w:ascii="黑体" w:hAnsi="黑体"/>
          <w:b w:val="0"/>
          <w:sz w:val="21"/>
          <w:szCs w:val="21"/>
        </w:rPr>
      </w:pPr>
      <w:bookmarkStart w:id="68" w:name="_Toc20651212"/>
      <w:r>
        <w:rPr>
          <w:rFonts w:hint="eastAsia" w:ascii="黑体" w:hAnsi="黑体"/>
          <w:b w:val="0"/>
          <w:sz w:val="21"/>
          <w:szCs w:val="21"/>
        </w:rPr>
        <w:t>附表3 资格审查合格投标人名单</w:t>
      </w:r>
      <w:bookmarkEnd w:id="68"/>
    </w:p>
    <w:p>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资格审查合格投标人名单</w:t>
      </w:r>
    </w:p>
    <w:p>
      <w:pPr>
        <w:adjustRightInd w:val="0"/>
        <w:snapToGrid w:val="0"/>
        <w:spacing w:line="360" w:lineRule="auto"/>
        <w:rPr>
          <w:rFonts w:ascii="华文中宋" w:hAnsi="华文中宋" w:eastAsia="华文中宋"/>
          <w:sz w:val="32"/>
          <w:szCs w:val="32"/>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pPr>
              <w:jc w:val="center"/>
              <w:rPr>
                <w:b/>
                <w:kern w:val="0"/>
                <w:szCs w:val="21"/>
              </w:rPr>
            </w:pPr>
            <w:r>
              <w:rPr>
                <w:rFonts w:hint="eastAsia"/>
                <w:b/>
                <w:kern w:val="0"/>
                <w:szCs w:val="21"/>
              </w:rPr>
              <w:t>序号</w:t>
            </w:r>
          </w:p>
        </w:tc>
        <w:tc>
          <w:tcPr>
            <w:tcW w:w="7796" w:type="dxa"/>
            <w:vAlign w:val="center"/>
          </w:tcPr>
          <w:p>
            <w:pPr>
              <w:jc w:val="center"/>
              <w:rPr>
                <w:b/>
                <w:kern w:val="0"/>
                <w:szCs w:val="21"/>
              </w:rPr>
            </w:pPr>
            <w:r>
              <w:rPr>
                <w:rFonts w:hint="eastAsia"/>
                <w:b/>
                <w:kern w:val="0"/>
                <w:szCs w:val="21"/>
              </w:rPr>
              <w:t>合格投标人名称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Cs w:val="21"/>
              </w:rPr>
            </w:pPr>
          </w:p>
        </w:tc>
        <w:tc>
          <w:tcPr>
            <w:tcW w:w="7796" w:type="dxa"/>
          </w:tcPr>
          <w:p>
            <w:pPr>
              <w:adjustRightInd w:val="0"/>
              <w:snapToGrid w:val="0"/>
              <w:spacing w:line="360" w:lineRule="auto"/>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bl>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pPr>
        <w:rPr>
          <w:rFonts w:ascii="黑体" w:hAnsi="华文中宋" w:eastAsia="黑体"/>
          <w:b/>
          <w:sz w:val="32"/>
          <w:szCs w:val="32"/>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ascii="宋体" w:hAnsi="宋体"/>
        </w:rPr>
        <w:br w:type="page"/>
      </w:r>
    </w:p>
    <w:p>
      <w:pPr>
        <w:pStyle w:val="22"/>
        <w:adjustRightInd w:val="0"/>
        <w:snapToGrid w:val="0"/>
        <w:spacing w:line="360" w:lineRule="auto"/>
        <w:jc w:val="center"/>
        <w:outlineLvl w:val="0"/>
        <w:rPr>
          <w:rFonts w:ascii="黑体" w:hAnsi="华文中宋" w:eastAsia="黑体"/>
          <w:b/>
          <w:sz w:val="28"/>
          <w:szCs w:val="28"/>
        </w:rPr>
      </w:pPr>
      <w:bookmarkStart w:id="69" w:name="_Toc20651213"/>
      <w:r>
        <w:rPr>
          <w:rFonts w:hint="eastAsia" w:ascii="黑体" w:hAnsi="华文中宋" w:eastAsia="黑体"/>
          <w:b/>
          <w:sz w:val="32"/>
          <w:szCs w:val="32"/>
        </w:rPr>
        <w:t>第四章 评标方法及标准</w:t>
      </w:r>
      <w:bookmarkEnd w:id="69"/>
    </w:p>
    <w:p>
      <w:pPr>
        <w:pStyle w:val="4"/>
        <w:adjustRightInd w:val="0"/>
        <w:snapToGrid w:val="0"/>
        <w:jc w:val="center"/>
        <w:rPr>
          <w:rFonts w:ascii="黑体" w:hAnsi="华文中宋" w:eastAsia="黑体"/>
          <w:sz w:val="28"/>
          <w:szCs w:val="28"/>
        </w:rPr>
      </w:pPr>
      <w:bookmarkStart w:id="70" w:name="_Toc20651214"/>
      <w:r>
        <w:rPr>
          <w:rFonts w:hint="eastAsia" w:ascii="黑体" w:hAnsi="华文中宋" w:eastAsia="黑体"/>
          <w:sz w:val="28"/>
          <w:szCs w:val="28"/>
        </w:rPr>
        <w:t>第一节 评标方法及标准前附表</w:t>
      </w:r>
      <w:bookmarkEnd w:id="70"/>
    </w:p>
    <w:p>
      <w:pPr>
        <w:adjustRightInd w:val="0"/>
        <w:snapToGrid w:val="0"/>
        <w:spacing w:line="360" w:lineRule="auto"/>
        <w:jc w:val="right"/>
        <w:rPr>
          <w:rFonts w:asciiTheme="minorEastAsia" w:hAnsiTheme="minorEastAsia" w:eastAsiaTheme="minorEastAsia"/>
          <w:bCs/>
          <w:i w:val="0"/>
          <w:iCs/>
          <w:szCs w:val="21"/>
        </w:rPr>
      </w:pPr>
      <w:r>
        <w:rPr>
          <w:rFonts w:hint="eastAsia" w:asciiTheme="minorEastAsia" w:hAnsiTheme="minorEastAsia" w:eastAsiaTheme="minorEastAsia"/>
          <w:bCs/>
          <w:i w:val="0"/>
          <w:iCs/>
          <w:szCs w:val="21"/>
        </w:rPr>
        <w:t>本项目启用的条款在“编列内容规定”栏内以“■”标注。</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709"/>
        <w:gridCol w:w="425"/>
        <w:gridCol w:w="1134"/>
        <w:gridCol w:w="48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double" w:color="auto" w:sz="4" w:space="0"/>
              <w:bottom w:val="single" w:color="auto" w:sz="6" w:space="0"/>
            </w:tcBorders>
          </w:tcPr>
          <w:p>
            <w:pPr>
              <w:adjustRightInd w:val="0"/>
              <w:snapToGrid w:val="0"/>
              <w:spacing w:before="156" w:beforeLines="50" w:line="360" w:lineRule="auto"/>
              <w:jc w:val="center"/>
              <w:rPr>
                <w:b/>
              </w:rPr>
            </w:pPr>
            <w:r>
              <w:rPr>
                <w:rFonts w:hint="eastAsia"/>
                <w:b/>
              </w:rPr>
              <w:t>条款号</w:t>
            </w:r>
          </w:p>
        </w:tc>
        <w:tc>
          <w:tcPr>
            <w:tcW w:w="2268" w:type="dxa"/>
            <w:gridSpan w:val="3"/>
            <w:tcBorders>
              <w:top w:val="double" w:color="auto" w:sz="4" w:space="0"/>
              <w:bottom w:val="single" w:color="auto" w:sz="6" w:space="0"/>
            </w:tcBorders>
          </w:tcPr>
          <w:p>
            <w:pPr>
              <w:adjustRightInd w:val="0"/>
              <w:snapToGrid w:val="0"/>
              <w:spacing w:before="156" w:beforeLines="50" w:line="360" w:lineRule="auto"/>
              <w:jc w:val="center"/>
              <w:rPr>
                <w:b/>
              </w:rPr>
            </w:pPr>
            <w:r>
              <w:rPr>
                <w:rFonts w:hint="eastAsia"/>
                <w:b/>
              </w:rPr>
              <w:t>条款名称</w:t>
            </w:r>
          </w:p>
        </w:tc>
        <w:tc>
          <w:tcPr>
            <w:tcW w:w="4820" w:type="dxa"/>
            <w:tcBorders>
              <w:top w:val="double" w:color="auto" w:sz="4" w:space="0"/>
              <w:bottom w:val="single" w:color="auto" w:sz="6" w:space="0"/>
            </w:tcBorders>
          </w:tcPr>
          <w:p>
            <w:pPr>
              <w:adjustRightInd w:val="0"/>
              <w:snapToGrid w:val="0"/>
              <w:spacing w:before="156" w:beforeLines="50" w:line="360" w:lineRule="auto"/>
              <w:jc w:val="center"/>
              <w:rPr>
                <w:b/>
              </w:rPr>
            </w:pPr>
            <w:r>
              <w:rPr>
                <w:rFonts w:hint="eastAsia"/>
                <w:b/>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第1.3</w:t>
            </w:r>
            <w:r>
              <w:rPr>
                <w:rFonts w:hint="eastAsia" w:cs="宋体" w:asciiTheme="minorEastAsia" w:hAnsiTheme="minorEastAsia" w:eastAsiaTheme="minorEastAsia"/>
                <w:kern w:val="0"/>
                <w:szCs w:val="21"/>
                <w:lang w:val="zh-CN"/>
              </w:rPr>
              <w:t>款</w:t>
            </w:r>
          </w:p>
        </w:tc>
        <w:tc>
          <w:tcPr>
            <w:tcW w:w="2268" w:type="dxa"/>
            <w:gridSpan w:val="3"/>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评标方法</w:t>
            </w:r>
          </w:p>
        </w:tc>
        <w:tc>
          <w:tcPr>
            <w:tcW w:w="4820" w:type="dxa"/>
            <w:tcBorders>
              <w:top w:val="single" w:color="auto" w:sz="6" w:space="0"/>
              <w:bottom w:val="single" w:color="auto" w:sz="6" w:space="0"/>
            </w:tcBorders>
            <w:vAlign w:val="center"/>
          </w:tcPr>
          <w:p>
            <w:pPr>
              <w:adjustRightInd w:val="0"/>
              <w:snapToGrid w:val="0"/>
              <w:spacing w:before="156" w:beforeLines="50"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第3.4</w:t>
            </w:r>
            <w:r>
              <w:rPr>
                <w:rFonts w:hint="eastAsia" w:cs="宋体" w:asciiTheme="minorEastAsia" w:hAnsiTheme="minorEastAsia" w:eastAsiaTheme="minorEastAsia"/>
                <w:kern w:val="0"/>
                <w:szCs w:val="21"/>
                <w:lang w:val="zh-CN"/>
              </w:rPr>
              <w:t>款</w:t>
            </w:r>
          </w:p>
        </w:tc>
        <w:tc>
          <w:tcPr>
            <w:tcW w:w="2268" w:type="dxa"/>
            <w:gridSpan w:val="3"/>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非单一产品采购项目的核心产品</w:t>
            </w:r>
          </w:p>
        </w:tc>
        <w:tc>
          <w:tcPr>
            <w:tcW w:w="4820" w:type="dxa"/>
            <w:tcBorders>
              <w:top w:val="single" w:color="auto" w:sz="6" w:space="0"/>
              <w:bottom w:val="single" w:color="auto" w:sz="6" w:space="0"/>
            </w:tcBorders>
            <w:vAlign w:val="center"/>
          </w:tcPr>
          <w:p>
            <w:pPr>
              <w:adjustRightInd w:val="0"/>
              <w:snapToGrid w:val="0"/>
              <w:spacing w:before="156"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lang w:val="en-US" w:eastAsia="zh-CN"/>
              </w:rPr>
              <w:t>核心产品为：无。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第4.2</w:t>
            </w:r>
            <w:r>
              <w:rPr>
                <w:rFonts w:hint="eastAsia" w:cs="宋体" w:asciiTheme="minorEastAsia" w:hAnsiTheme="minorEastAsia" w:eastAsiaTheme="minorEastAsia"/>
                <w:kern w:val="0"/>
                <w:szCs w:val="21"/>
                <w:lang w:val="zh-CN"/>
              </w:rPr>
              <w:t>款</w:t>
            </w:r>
          </w:p>
        </w:tc>
        <w:tc>
          <w:tcPr>
            <w:tcW w:w="2268" w:type="dxa"/>
            <w:gridSpan w:val="3"/>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投标文件报价出现前后不一致的修正</w:t>
            </w:r>
          </w:p>
        </w:tc>
        <w:tc>
          <w:tcPr>
            <w:tcW w:w="4820" w:type="dxa"/>
            <w:tcBorders>
              <w:top w:val="single" w:color="auto" w:sz="6" w:space="0"/>
              <w:bottom w:val="single" w:color="auto" w:sz="6" w:space="0"/>
            </w:tcBorders>
            <w:vAlign w:val="center"/>
          </w:tcPr>
          <w:p>
            <w:pPr>
              <w:adjustRightInd w:val="0"/>
              <w:snapToGrid w:val="0"/>
              <w:spacing w:line="420" w:lineRule="exact"/>
              <w:rPr>
                <w:szCs w:val="21"/>
              </w:rPr>
            </w:pPr>
            <w:bookmarkStart w:id="71" w:name="EB3354c7774e7c4a61a8234a12b444406f"/>
            <w:r>
              <w:rPr>
                <w:rFonts w:hint="eastAsia"/>
                <w:szCs w:val="21"/>
                <w:lang w:val="en-US" w:eastAsia="zh-CN"/>
              </w:rPr>
              <w:t>按本章正文规定修正</w:t>
            </w:r>
            <w:bookmarkEnd w:id="71"/>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第5.2（1）</w:t>
            </w:r>
            <w:r>
              <w:rPr>
                <w:rFonts w:hint="eastAsia" w:cs="宋体" w:asciiTheme="minorEastAsia" w:hAnsiTheme="minorEastAsia" w:eastAsiaTheme="minorEastAsia"/>
                <w:kern w:val="0"/>
                <w:szCs w:val="21"/>
                <w:lang w:val="zh-CN"/>
              </w:rPr>
              <w:t>项</w:t>
            </w:r>
          </w:p>
        </w:tc>
        <w:tc>
          <w:tcPr>
            <w:tcW w:w="2268" w:type="dxa"/>
            <w:gridSpan w:val="3"/>
            <w:tcBorders>
              <w:top w:val="single" w:color="auto" w:sz="6" w:space="0"/>
              <w:bottom w:val="single" w:color="auto" w:sz="6" w:space="0"/>
            </w:tcBorders>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相同品牌产品投标报价相同的</w:t>
            </w:r>
          </w:p>
        </w:tc>
        <w:tc>
          <w:tcPr>
            <w:tcW w:w="4820" w:type="dxa"/>
            <w:tcBorders>
              <w:top w:val="single" w:color="auto" w:sz="6" w:space="0"/>
              <w:bottom w:val="single" w:color="auto" w:sz="6" w:space="0"/>
            </w:tcBorders>
            <w:vAlign w:val="center"/>
          </w:tcPr>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bookmarkStart w:id="72" w:name="EBa51f1efb8f7343f5b2bb590e3f786f6e"/>
            <w:r>
              <w:rPr>
                <w:rFonts w:hint="eastAsia" w:ascii="宋体" w:hAnsi="宋体" w:eastAsia="宋体" w:cs="Times New Roman"/>
                <w:kern w:val="2"/>
                <w:sz w:val="21"/>
                <w:szCs w:val="22"/>
                <w:highlight w:val="white"/>
                <w:lang w:val="en-US" w:eastAsia="zh-CN" w:bidi="ar-SA"/>
              </w:rPr>
              <w:t>☑</w:t>
            </w:r>
            <w:bookmarkEnd w:id="72"/>
            <w:r>
              <w:rPr>
                <w:rFonts w:hint="eastAsia" w:ascii="宋体" w:hAnsi="宋体" w:eastAsia="宋体" w:cs="Times New Roman"/>
                <w:kern w:val="2"/>
                <w:sz w:val="21"/>
                <w:szCs w:val="22"/>
                <w:highlight w:val="white"/>
                <w:lang w:val="en-US" w:eastAsia="zh-CN" w:bidi="ar-SA"/>
              </w:rPr>
              <w:t>得分相同的，按投标报价由低到高顺序排列。得分且投标报价相同的，按技术指标优劣顺序排列。（提示：也可另行规定）</w:t>
            </w:r>
            <w:bookmarkStart w:id="73" w:name="EBd70d0e7b19be4583bd36a26036955249"/>
            <w:bookmarkEnd w:id="73"/>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bookmarkStart w:id="74" w:name="EB545613f542124154911cb3a03e72bbaa"/>
            <w:r>
              <w:rPr>
                <w:rFonts w:hint="eastAsia" w:ascii="宋体" w:hAnsi="宋体" w:eastAsia="宋体" w:cs="Times New Roman"/>
                <w:kern w:val="2"/>
                <w:sz w:val="21"/>
                <w:szCs w:val="22"/>
                <w:highlight w:val="white"/>
                <w:lang w:val="en-US" w:eastAsia="zh-CN" w:bidi="ar-SA"/>
              </w:rPr>
              <w:t>□</w:t>
            </w:r>
            <w:bookmarkEnd w:id="74"/>
            <w:r>
              <w:rPr>
                <w:rFonts w:hint="eastAsia" w:ascii="宋体" w:hAnsi="宋体" w:eastAsia="宋体" w:cs="Times New Roman"/>
                <w:kern w:val="2"/>
                <w:sz w:val="21"/>
                <w:szCs w:val="22"/>
                <w:highlight w:val="white"/>
                <w:lang w:val="en-US" w:eastAsia="zh-CN" w:bidi="ar-SA"/>
              </w:rPr>
              <w:t>随机抽取方式确定。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第5.2（2）</w:t>
            </w:r>
            <w:r>
              <w:rPr>
                <w:rFonts w:hint="eastAsia" w:cs="宋体" w:asciiTheme="minorEastAsia" w:hAnsiTheme="minorEastAsia" w:eastAsiaTheme="minorEastAsia"/>
                <w:kern w:val="0"/>
                <w:szCs w:val="21"/>
                <w:lang w:val="zh-CN"/>
              </w:rPr>
              <w:t>项</w:t>
            </w:r>
          </w:p>
        </w:tc>
        <w:tc>
          <w:tcPr>
            <w:tcW w:w="2268" w:type="dxa"/>
            <w:gridSpan w:val="3"/>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相同品牌产品评审得分相同的规定</w:t>
            </w:r>
          </w:p>
        </w:tc>
        <w:tc>
          <w:tcPr>
            <w:tcW w:w="4820" w:type="dxa"/>
            <w:tcBorders>
              <w:top w:val="single" w:color="auto" w:sz="6" w:space="0"/>
              <w:bottom w:val="single" w:color="auto" w:sz="6" w:space="0"/>
            </w:tcBorders>
            <w:vAlign w:val="center"/>
          </w:tcPr>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本项目中小企业划分标准所属行业（十）餐饮业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（一）农、林、牧、渔业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（二）工业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（三）建筑业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（四）批发业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（五）零售业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（六）交通运输业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（七）仓储业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（八）邮政业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（九）住宿业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（十）餐饮业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（十一）信息传输业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（十二）软件和信息技术服务业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（十三）房地产开发经营</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（十四）物业管理</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（十五）租赁和商务服务业</w:t>
            </w:r>
          </w:p>
          <w:p>
            <w:pPr>
              <w:widowControl w:val="0"/>
              <w:adjustRightInd w:val="0"/>
              <w:snapToGrid w:val="0"/>
              <w:spacing w:line="360" w:lineRule="auto"/>
              <w:jc w:val="both"/>
              <w:rPr>
                <w:rFonts w:hint="eastAsia" w:ascii="宋体" w:hAnsi="宋体" w:eastAsia="宋体" w:cs="Times New Roman"/>
                <w:kern w:val="2"/>
                <w:sz w:val="21"/>
                <w:szCs w:val="22"/>
                <w:highlight w:val="white"/>
                <w:lang w:val="en-US" w:eastAsia="zh-CN" w:bidi="ar-SA"/>
              </w:rPr>
            </w:pPr>
            <w:r>
              <w:rPr>
                <w:rFonts w:hint="eastAsia" w:ascii="宋体" w:hAnsi="宋体" w:eastAsia="宋体" w:cs="Times New Roman"/>
                <w:kern w:val="2"/>
                <w:sz w:val="21"/>
                <w:szCs w:val="22"/>
                <w:highlight w:val="white"/>
                <w:lang w:val="en-US" w:eastAsia="zh-CN" w:bidi="ar-SA"/>
              </w:rPr>
              <w:t>（十六）其他未列明行业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0" w:hRule="atLeast"/>
        </w:trPr>
        <w:tc>
          <w:tcPr>
            <w:tcW w:w="1701" w:type="dxa"/>
            <w:vMerge w:val="restart"/>
            <w:tcBorders>
              <w:top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第5.3（1）</w:t>
            </w:r>
            <w:r>
              <w:rPr>
                <w:rFonts w:hint="eastAsia" w:cs="宋体" w:asciiTheme="minorEastAsia" w:hAnsiTheme="minorEastAsia" w:eastAsiaTheme="minorEastAsia"/>
                <w:kern w:val="0"/>
                <w:szCs w:val="21"/>
                <w:lang w:val="zh-CN"/>
              </w:rPr>
              <w:t>项</w:t>
            </w:r>
          </w:p>
        </w:tc>
        <w:tc>
          <w:tcPr>
            <w:tcW w:w="1134" w:type="dxa"/>
            <w:gridSpan w:val="2"/>
            <w:vMerge w:val="restart"/>
            <w:tcBorders>
              <w:top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szCs w:val="21"/>
              </w:rPr>
              <w:t>价格评审优惠</w:t>
            </w:r>
          </w:p>
        </w:tc>
        <w:tc>
          <w:tcPr>
            <w:tcW w:w="1134" w:type="dxa"/>
            <w:tcBorders>
              <w:top w:val="single" w:color="auto" w:sz="6" w:space="0"/>
              <w:bottom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imes New Roman" w:hAnsi="Times New Roman"/>
                <w:kern w:val="2"/>
                <w:sz w:val="21"/>
                <w:szCs w:val="21"/>
                <w:highlight w:val="white"/>
                <w:lang w:val="en-US" w:eastAsia="zh-CN" w:bidi="ar-SA"/>
              </w:rPr>
              <w:t>中小企业优惠政策</w:t>
            </w:r>
          </w:p>
        </w:tc>
        <w:tc>
          <w:tcPr>
            <w:tcW w:w="4820" w:type="dxa"/>
            <w:tcBorders>
              <w:top w:val="single" w:color="auto" w:sz="6"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①小微企业价格给予6%-10%的扣除，用扣除后的价格参与评审，本项目具体扣除比例为：价格部分</w:t>
            </w:r>
            <w:bookmarkStart w:id="75" w:name="EBbad65e72ea8d4152a10e95ab496c13f9"/>
            <w:r>
              <w:rPr>
                <w:rFonts w:hint="eastAsia" w:ascii="宋体" w:hAnsi="宋体" w:cs="宋体"/>
                <w:color w:val="0000FF"/>
                <w:kern w:val="0"/>
                <w:sz w:val="21"/>
                <w:szCs w:val="22"/>
                <w:highlight w:val="white"/>
                <w:lang w:val="en-US" w:eastAsia="zh-CN" w:bidi="ar-SA"/>
              </w:rPr>
              <w:t>6</w:t>
            </w:r>
            <w:bookmarkEnd w:id="75"/>
            <w:r>
              <w:rPr>
                <w:rFonts w:hint="eastAsia" w:ascii="宋体" w:hAnsi="宋体" w:cs="宋体"/>
                <w:kern w:val="0"/>
                <w:sz w:val="21"/>
                <w:szCs w:val="22"/>
                <w:highlight w:val="white"/>
                <w:lang w:val="en-US" w:eastAsia="zh-CN" w:bidi="ar-SA"/>
              </w:rPr>
              <w:t>%。</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②给予联合体或允许分包</w:t>
            </w:r>
            <w:r>
              <w:rPr>
                <w:rFonts w:ascii="宋体" w:hAnsi="宋体" w:cs="宋体"/>
                <w:kern w:val="0"/>
                <w:sz w:val="21"/>
                <w:szCs w:val="22"/>
                <w:highlight w:val="white"/>
                <w:lang w:val="en-US" w:eastAsia="zh-CN" w:bidi="ar-SA"/>
              </w:rPr>
              <w:t>2%-3%</w:t>
            </w:r>
            <w:r>
              <w:rPr>
                <w:rFonts w:hint="eastAsia" w:ascii="宋体" w:hAnsi="宋体" w:cs="宋体"/>
                <w:kern w:val="0"/>
                <w:sz w:val="21"/>
                <w:szCs w:val="22"/>
                <w:highlight w:val="white"/>
                <w:lang w:val="en-US" w:eastAsia="zh-CN" w:bidi="ar-SA"/>
              </w:rPr>
              <w:t>的价格扣除，用扣除后的价格参与评审，本项目具体扣除比例为</w:t>
            </w:r>
            <w:bookmarkStart w:id="76" w:name="EB8fddba22643246008ba360a2cc3cccb6"/>
            <w:r>
              <w:rPr>
                <w:rFonts w:hint="eastAsia" w:ascii="宋体" w:hAnsi="宋体" w:cs="宋体"/>
                <w:color w:val="0000FF"/>
                <w:kern w:val="0"/>
                <w:sz w:val="21"/>
                <w:szCs w:val="22"/>
                <w:highlight w:val="white"/>
                <w:lang w:val="en-US" w:eastAsia="zh-CN" w:bidi="ar-SA"/>
              </w:rPr>
              <w:t>/</w:t>
            </w:r>
            <w:bookmarkEnd w:id="76"/>
            <w:r>
              <w:rPr>
                <w:rFonts w:hint="eastAsia" w:ascii="宋体" w:hAnsi="宋体" w:cs="宋体"/>
                <w:kern w:val="0"/>
                <w:sz w:val="21"/>
                <w:szCs w:val="22"/>
                <w:highlight w:val="white"/>
                <w:lang w:val="en-US" w:eastAsia="zh-CN" w:bidi="ar-SA"/>
              </w:rPr>
              <w:t>％。价格扣除是指接受大中型企业与小微企业组成联合体或者允许大中型企业向一家或者多家小型企业分包，且联合体协议或分包协议中约定，小型、微型企业的协议合同金额占到合同总金额</w:t>
            </w:r>
            <w:r>
              <w:rPr>
                <w:rFonts w:ascii="宋体" w:hAnsi="宋体" w:cs="宋体"/>
                <w:kern w:val="0"/>
                <w:sz w:val="21"/>
                <w:szCs w:val="22"/>
                <w:highlight w:val="white"/>
                <w:lang w:val="en-US" w:eastAsia="zh-CN" w:bidi="ar-SA"/>
              </w:rPr>
              <w:t>30%</w:t>
            </w:r>
            <w:r>
              <w:rPr>
                <w:rFonts w:hint="eastAsia" w:ascii="宋体" w:hAnsi="宋体" w:cs="宋体"/>
                <w:kern w:val="0"/>
                <w:sz w:val="21"/>
                <w:szCs w:val="22"/>
                <w:highlight w:val="white"/>
                <w:lang w:val="en-US" w:eastAsia="zh-CN" w:bidi="ar-SA"/>
              </w:rPr>
              <w:t>以上的，可给予价格扣除。</w:t>
            </w:r>
          </w:p>
          <w:p>
            <w:pPr>
              <w:adjustRightInd w:val="0"/>
              <w:snapToGrid w:val="0"/>
              <w:spacing w:line="420" w:lineRule="exact"/>
              <w:rPr>
                <w:szCs w:val="21"/>
              </w:rPr>
            </w:pPr>
            <w:r>
              <w:rPr>
                <w:rFonts w:hint="eastAsia" w:ascii="宋体" w:hAnsi="宋体" w:cs="宋体"/>
                <w:kern w:val="0"/>
                <w:sz w:val="21"/>
                <w:szCs w:val="22"/>
                <w:highlight w:val="white"/>
                <w:lang w:val="en-US" w:eastAsia="zh-CN" w:bidi="ar-SA"/>
              </w:rPr>
              <w:t>（注：投标文件必须按招标文件要求特别标注说明所投相应产品所在品目、品牌、型号，中小企业声明函等材料，享受分包价格扣除，还需提供分包协议否则评审时不予以考虑）</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0" w:hRule="atLeast"/>
        </w:trPr>
        <w:tc>
          <w:tcPr>
            <w:tcW w:w="1701" w:type="dxa"/>
            <w:vMerge w:val="continue"/>
            <w:tcBorders>
              <w:bottom w:val="single" w:color="auto" w:sz="6" w:space="0"/>
            </w:tcBorders>
            <w:vAlign w:val="center"/>
          </w:tcPr>
          <w:p>
            <w:pPr>
              <w:adjustRightInd w:val="0"/>
              <w:snapToGrid w:val="0"/>
              <w:spacing w:before="156" w:beforeLines="50" w:line="360" w:lineRule="auto"/>
              <w:jc w:val="center"/>
            </w:pPr>
          </w:p>
        </w:tc>
        <w:tc>
          <w:tcPr>
            <w:tcW w:w="1134" w:type="dxa"/>
            <w:gridSpan w:val="2"/>
            <w:vMerge w:val="continue"/>
            <w:tcBorders>
              <w:bottom w:val="single" w:color="auto" w:sz="6" w:space="0"/>
            </w:tcBorders>
            <w:vAlign w:val="center"/>
          </w:tcPr>
          <w:p>
            <w:pPr>
              <w:adjustRightInd w:val="0"/>
              <w:snapToGrid w:val="0"/>
              <w:spacing w:before="156" w:beforeLines="50" w:line="360" w:lineRule="auto"/>
              <w:jc w:val="center"/>
            </w:pPr>
          </w:p>
        </w:tc>
        <w:tc>
          <w:tcPr>
            <w:tcW w:w="1134" w:type="dxa"/>
            <w:tcBorders>
              <w:top w:val="single" w:color="auto" w:sz="6" w:space="0"/>
              <w:bottom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imes New Roman" w:hAnsi="Times New Roman"/>
                <w:kern w:val="2"/>
                <w:sz w:val="21"/>
                <w:szCs w:val="21"/>
                <w:highlight w:val="white"/>
                <w:lang w:val="en-US" w:eastAsia="zh-CN" w:bidi="ar-SA"/>
              </w:rPr>
              <w:t>监狱企业、残疾人福利性单位</w:t>
            </w:r>
          </w:p>
        </w:tc>
        <w:tc>
          <w:tcPr>
            <w:tcW w:w="4820" w:type="dxa"/>
            <w:tcBorders>
              <w:bottom w:val="single" w:color="auto" w:sz="6"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投标人如提供监狱企业、残疾人福利性单位生产的产品，投标文件必须按招标文件要求提供“享受政府采购政策优惠的证明材料”，否则评审时不予以考虑。</w:t>
            </w:r>
          </w:p>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宋体" w:hAnsi="宋体" w:cs="宋体"/>
                <w:kern w:val="0"/>
                <w:sz w:val="21"/>
                <w:szCs w:val="22"/>
                <w:highlight w:val="white"/>
                <w:lang w:val="en-US" w:eastAsia="zh-CN" w:bidi="ar-SA"/>
              </w:rPr>
              <w:t>监狱企业、残疾人福利性单位生产的产品的价格给予6%-10%的扣除，用扣除后的价格参与评审，本项目具体扣除比例为：价格部分</w:t>
            </w:r>
            <w:bookmarkStart w:id="77" w:name="EB7533d9a537944b1d9e06d32182feb747"/>
            <w:r>
              <w:rPr>
                <w:rFonts w:hint="eastAsia" w:ascii="宋体" w:hAnsi="宋体" w:cs="宋体"/>
                <w:color w:val="0000FF"/>
                <w:kern w:val="0"/>
                <w:sz w:val="21"/>
                <w:szCs w:val="22"/>
                <w:highlight w:val="white"/>
                <w:lang w:val="en-US" w:eastAsia="zh-CN" w:bidi="ar-SA"/>
              </w:rPr>
              <w:t>6</w:t>
            </w:r>
            <w:bookmarkEnd w:id="77"/>
            <w:r>
              <w:rPr>
                <w:rFonts w:hint="eastAsia" w:ascii="宋体" w:hAnsi="宋体" w:cs="宋体"/>
                <w:kern w:val="0"/>
                <w:sz w:val="21"/>
                <w:szCs w:val="22"/>
                <w:highlight w:val="white"/>
                <w:lang w:val="en-US" w:eastAsia="zh-CN" w:bidi="ar-SA"/>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tcBorders>
              <w:top w:val="single" w:color="auto" w:sz="6" w:space="0"/>
              <w:bottom w:val="single" w:color="auto" w:sz="6" w:space="0"/>
              <w:right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第5.3（2）</w:t>
            </w:r>
            <w:r>
              <w:rPr>
                <w:rFonts w:hint="eastAsia" w:cs="宋体" w:asciiTheme="minorEastAsia" w:hAnsiTheme="minorEastAsia" w:eastAsiaTheme="minorEastAsia"/>
                <w:kern w:val="0"/>
                <w:szCs w:val="21"/>
                <w:lang w:val="zh-CN"/>
              </w:rPr>
              <w:t>项</w:t>
            </w:r>
          </w:p>
        </w:tc>
        <w:tc>
          <w:tcPr>
            <w:tcW w:w="70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优先采购</w:t>
            </w:r>
          </w:p>
        </w:tc>
        <w:tc>
          <w:tcPr>
            <w:tcW w:w="1559" w:type="dxa"/>
            <w:gridSpan w:val="2"/>
            <w:tcBorders>
              <w:top w:val="single" w:color="auto" w:sz="6" w:space="0"/>
              <w:left w:val="single" w:color="auto" w:sz="6" w:space="0"/>
              <w:right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节能产品或环境标志产品或两型产品</w:t>
            </w:r>
          </w:p>
        </w:tc>
        <w:tc>
          <w:tcPr>
            <w:tcW w:w="4820" w:type="dxa"/>
            <w:tcBorders>
              <w:top w:val="single" w:color="auto" w:sz="6" w:space="0"/>
              <w:left w:val="single" w:color="auto" w:sz="6" w:space="0"/>
              <w:bottom w:val="single" w:color="auto" w:sz="6"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①非强制采购节能产品:对于技术和价格分，应分别给予4%-8%的加分。本项目具体加分比例分别为 ：技术</w:t>
            </w:r>
            <w:bookmarkStart w:id="78" w:name="EB577fa9dab91b4a309db4bfcba1584112"/>
            <w:r>
              <w:rPr>
                <w:rFonts w:hint="eastAsia" w:ascii="宋体" w:hAnsi="宋体" w:cs="宋体"/>
                <w:color w:val="0000FF"/>
                <w:kern w:val="0"/>
                <w:sz w:val="21"/>
                <w:szCs w:val="22"/>
                <w:highlight w:val="white"/>
                <w:lang w:val="en-US" w:eastAsia="zh-CN" w:bidi="ar-SA"/>
              </w:rPr>
              <w:t>4</w:t>
            </w:r>
            <w:bookmarkEnd w:id="78"/>
            <w:r>
              <w:rPr>
                <w:rFonts w:hint="eastAsia" w:ascii="宋体" w:hAnsi="宋体" w:cs="宋体"/>
                <w:kern w:val="0"/>
                <w:sz w:val="21"/>
                <w:szCs w:val="22"/>
                <w:highlight w:val="white"/>
                <w:lang w:val="en-US" w:eastAsia="zh-CN" w:bidi="ar-SA"/>
              </w:rPr>
              <w:t>%、价格</w:t>
            </w:r>
            <w:bookmarkStart w:id="79" w:name="EB6907e29c51cb45fe815241f6e9790895"/>
            <w:r>
              <w:rPr>
                <w:rFonts w:hint="eastAsia" w:ascii="宋体" w:hAnsi="宋体" w:cs="宋体"/>
                <w:color w:val="0000FF"/>
                <w:kern w:val="0"/>
                <w:sz w:val="21"/>
                <w:szCs w:val="22"/>
                <w:highlight w:val="white"/>
                <w:lang w:val="en-US" w:eastAsia="zh-CN" w:bidi="ar-SA"/>
              </w:rPr>
              <w:t>4</w:t>
            </w:r>
            <w:bookmarkEnd w:id="79"/>
            <w:r>
              <w:rPr>
                <w:rFonts w:hint="eastAsia" w:ascii="宋体" w:hAnsi="宋体" w:cs="宋体"/>
                <w:kern w:val="0"/>
                <w:sz w:val="21"/>
                <w:szCs w:val="22"/>
                <w:highlight w:val="white"/>
                <w:lang w:val="en-US" w:eastAsia="zh-CN" w:bidi="ar-SA"/>
              </w:rPr>
              <w:t>%。投标人须如实填写并提供“节能产品”清单提供清单中该产品所在页复印件或相应证书；</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②环境标志产品:对于技术和价格分，应分别给予4%-8%的加分。本项目具体加分比例分别为：技术</w:t>
            </w:r>
            <w:bookmarkStart w:id="80" w:name="EB092b27656bc44408843a9b00b0022693"/>
            <w:r>
              <w:rPr>
                <w:rFonts w:hint="eastAsia" w:ascii="宋体" w:hAnsi="宋体" w:cs="宋体"/>
                <w:color w:val="0000FF"/>
                <w:kern w:val="0"/>
                <w:sz w:val="21"/>
                <w:szCs w:val="22"/>
                <w:highlight w:val="white"/>
                <w:lang w:val="en-US" w:eastAsia="zh-CN" w:bidi="ar-SA"/>
              </w:rPr>
              <w:t>4</w:t>
            </w:r>
            <w:bookmarkEnd w:id="80"/>
            <w:r>
              <w:rPr>
                <w:rFonts w:hint="eastAsia" w:ascii="宋体" w:hAnsi="宋体" w:cs="宋体"/>
                <w:kern w:val="0"/>
                <w:sz w:val="21"/>
                <w:szCs w:val="22"/>
                <w:highlight w:val="white"/>
                <w:lang w:val="en-US" w:eastAsia="zh-CN" w:bidi="ar-SA"/>
              </w:rPr>
              <w:t>%、价格</w:t>
            </w:r>
            <w:bookmarkStart w:id="81" w:name="EBcad0e81067e44fed90ee5c1bc09fcc38"/>
            <w:r>
              <w:rPr>
                <w:rFonts w:hint="eastAsia" w:ascii="宋体" w:hAnsi="宋体" w:cs="宋体"/>
                <w:color w:val="0000FF"/>
                <w:kern w:val="0"/>
                <w:sz w:val="21"/>
                <w:szCs w:val="22"/>
                <w:highlight w:val="white"/>
                <w:lang w:val="en-US" w:eastAsia="zh-CN" w:bidi="ar-SA"/>
              </w:rPr>
              <w:t>4</w:t>
            </w:r>
            <w:bookmarkEnd w:id="81"/>
            <w:r>
              <w:rPr>
                <w:rFonts w:hint="eastAsia" w:ascii="宋体" w:hAnsi="宋体" w:cs="宋体"/>
                <w:kern w:val="0"/>
                <w:sz w:val="21"/>
                <w:szCs w:val="22"/>
                <w:highlight w:val="white"/>
                <w:lang w:val="en-US" w:eastAsia="zh-CN" w:bidi="ar-SA"/>
              </w:rPr>
              <w:t>%。投标人须如实填写并提供“环境标志产品”清单并提供清单中该产品所在页复印件或相应证书；</w:t>
            </w:r>
          </w:p>
          <w:p>
            <w:pPr>
              <w:adjustRightInd w:val="0"/>
              <w:snapToGrid w:val="0"/>
              <w:spacing w:line="420" w:lineRule="exact"/>
              <w:rPr>
                <w:rFonts w:asciiTheme="minorEastAsia" w:hAnsiTheme="minorEastAsia" w:eastAsiaTheme="minorEastAsia"/>
                <w:szCs w:val="21"/>
              </w:rPr>
            </w:pPr>
            <w:r>
              <w:rPr>
                <w:rFonts w:hint="eastAsia" w:ascii="宋体" w:hAnsi="宋体" w:cs="宋体"/>
                <w:kern w:val="0"/>
                <w:sz w:val="21"/>
                <w:szCs w:val="22"/>
                <w:highlight w:val="white"/>
                <w:lang w:val="en-US" w:eastAsia="zh-CN" w:bidi="ar-SA"/>
              </w:rPr>
              <w:t>③两型产品: 采购产品为《湖南省两型产品政府采购目录》(</w:t>
            </w:r>
            <w:bookmarkStart w:id="82" w:name="EB652c8b9f3fea49718f2b96fc02cfb7ea"/>
            <w:r>
              <w:rPr>
                <w:rFonts w:hint="eastAsia" w:ascii="宋体" w:hAnsi="宋体" w:cs="宋体"/>
                <w:color w:val="0000FF"/>
                <w:kern w:val="0"/>
                <w:sz w:val="21"/>
                <w:szCs w:val="22"/>
                <w:highlight w:val="white"/>
                <w:lang w:val="en-US" w:eastAsia="zh-CN" w:bidi="ar-SA"/>
              </w:rPr>
              <w:t>最新</w:t>
            </w:r>
            <w:bookmarkEnd w:id="82"/>
            <w:r>
              <w:rPr>
                <w:rFonts w:hint="eastAsia" w:ascii="宋体" w:hAnsi="宋体" w:cs="宋体"/>
                <w:kern w:val="0"/>
                <w:sz w:val="21"/>
                <w:szCs w:val="22"/>
                <w:highlight w:val="white"/>
                <w:lang w:val="en-US" w:eastAsia="zh-CN" w:bidi="ar-SA"/>
              </w:rPr>
              <w:t>)批内的文件首页和投标产品所在页（截图）。对于技术、价格分和商务分，应分别给予4%-8%的加分。本项目具体加分比例分别为 ：技术</w:t>
            </w:r>
            <w:bookmarkStart w:id="83" w:name="EB5bbe1f40143945d1996a2a94df3f6e5a"/>
            <w:r>
              <w:rPr>
                <w:rFonts w:hint="eastAsia" w:ascii="宋体" w:hAnsi="宋体" w:cs="宋体"/>
                <w:color w:val="0000FF"/>
                <w:kern w:val="0"/>
                <w:sz w:val="21"/>
                <w:szCs w:val="22"/>
                <w:highlight w:val="white"/>
                <w:lang w:val="en-US" w:eastAsia="zh-CN" w:bidi="ar-SA"/>
              </w:rPr>
              <w:t>4</w:t>
            </w:r>
            <w:bookmarkEnd w:id="83"/>
            <w:r>
              <w:rPr>
                <w:rFonts w:hint="eastAsia" w:ascii="宋体" w:hAnsi="宋体" w:cs="宋体"/>
                <w:kern w:val="0"/>
                <w:sz w:val="21"/>
                <w:szCs w:val="22"/>
                <w:highlight w:val="white"/>
                <w:lang w:val="en-US" w:eastAsia="zh-CN" w:bidi="ar-SA"/>
              </w:rPr>
              <w:t>%、价格</w:t>
            </w:r>
            <w:bookmarkStart w:id="84" w:name="EB979eee5f30064f40bd2ec5967a492790"/>
            <w:r>
              <w:rPr>
                <w:rFonts w:hint="eastAsia" w:ascii="宋体" w:hAnsi="宋体" w:cs="宋体"/>
                <w:color w:val="0000FF"/>
                <w:kern w:val="0"/>
                <w:sz w:val="21"/>
                <w:szCs w:val="22"/>
                <w:highlight w:val="white"/>
                <w:lang w:val="en-US" w:eastAsia="zh-CN" w:bidi="ar-SA"/>
              </w:rPr>
              <w:t>4</w:t>
            </w:r>
            <w:bookmarkEnd w:id="84"/>
            <w:r>
              <w:rPr>
                <w:rFonts w:hint="eastAsia" w:ascii="宋体" w:hAnsi="宋体" w:cs="宋体"/>
                <w:kern w:val="0"/>
                <w:sz w:val="21"/>
                <w:szCs w:val="22"/>
                <w:highlight w:val="white"/>
                <w:lang w:val="en-US" w:eastAsia="zh-CN" w:bidi="ar-SA"/>
              </w:rPr>
              <w:t>%、商务</w:t>
            </w:r>
            <w:bookmarkStart w:id="85" w:name="EB09216c59fa244a79942f7ea8a6e2d824"/>
            <w:r>
              <w:rPr>
                <w:rFonts w:hint="eastAsia" w:ascii="宋体" w:hAnsi="宋体" w:cs="宋体"/>
                <w:color w:val="0000FF"/>
                <w:kern w:val="0"/>
                <w:sz w:val="21"/>
                <w:szCs w:val="22"/>
                <w:highlight w:val="white"/>
                <w:lang w:val="en-US" w:eastAsia="zh-CN" w:bidi="ar-SA"/>
              </w:rPr>
              <w:t>4</w:t>
            </w:r>
            <w:bookmarkEnd w:id="85"/>
            <w:r>
              <w:rPr>
                <w:rFonts w:hint="eastAsia" w:ascii="宋体" w:hAnsi="宋体" w:cs="宋体"/>
                <w:kern w:val="0"/>
                <w:sz w:val="21"/>
                <w:szCs w:val="22"/>
                <w:highlight w:val="white"/>
                <w:lang w:val="en-US" w:eastAsia="zh-CN" w:bidi="ar-SA"/>
              </w:rPr>
              <w:t>%。其中商务评标项加分，两型产品供应商需设有完善的售后服务机构和网点。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10" w:hRule="atLeast"/>
        </w:trPr>
        <w:tc>
          <w:tcPr>
            <w:tcW w:w="1701" w:type="dxa"/>
            <w:tcBorders>
              <w:top w:val="single" w:color="auto" w:sz="6" w:space="0"/>
              <w:bottom w:val="single" w:color="auto" w:sz="6" w:space="0"/>
              <w:right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宋体" w:hAnsi="宋体"/>
                <w:kern w:val="2"/>
                <w:sz w:val="21"/>
                <w:szCs w:val="21"/>
                <w:highlight w:val="white"/>
                <w:lang w:val="en-US" w:eastAsia="zh-CN" w:bidi="ar-SA"/>
              </w:rPr>
              <w:t>第5.3（3）</w:t>
            </w:r>
            <w:r>
              <w:rPr>
                <w:rFonts w:hint="eastAsia" w:ascii="宋体" w:hAnsi="宋体" w:cs="宋体"/>
                <w:kern w:val="0"/>
                <w:sz w:val="21"/>
                <w:szCs w:val="21"/>
                <w:highlight w:val="white"/>
                <w:lang w:val="zh-CN" w:eastAsia="zh-CN" w:bidi="ar-SA"/>
              </w:rPr>
              <w:t>项</w:t>
            </w:r>
          </w:p>
        </w:tc>
        <w:tc>
          <w:tcPr>
            <w:tcW w:w="2268" w:type="dxa"/>
            <w:gridSpan w:val="3"/>
            <w:tcBorders>
              <w:top w:val="single" w:color="auto" w:sz="6" w:space="0"/>
              <w:left w:val="single" w:color="auto" w:sz="6" w:space="0"/>
              <w:bottom w:val="single" w:color="auto" w:sz="6" w:space="0"/>
              <w:right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宋体" w:hAnsi="宋体"/>
                <w:kern w:val="2"/>
                <w:sz w:val="21"/>
                <w:szCs w:val="21"/>
                <w:highlight w:val="white"/>
                <w:lang w:val="en-US" w:eastAsia="zh-CN" w:bidi="ar-SA"/>
              </w:rPr>
              <w:t>多处获得政府采购政策优惠的计算方法</w:t>
            </w:r>
          </w:p>
        </w:tc>
        <w:tc>
          <w:tcPr>
            <w:tcW w:w="4820" w:type="dxa"/>
            <w:tcBorders>
              <w:top w:val="single" w:color="auto" w:sz="6" w:space="0"/>
              <w:left w:val="single" w:color="auto" w:sz="6" w:space="0"/>
              <w:bottom w:val="single" w:color="auto" w:sz="6"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1、投标人投标产品同时具备政府采购优先采购的节能产品、环境标志和湖南省政府采购支持两型产品政策的，投标人可选择其一，也可均填报。对三者均填报的，评标委员会评审时，三者只能选择其一，选择优惠范围最多的优惠政策进行评审。  </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2、扶持中小企业发展的优惠政策可以叠加享受。</w:t>
            </w:r>
          </w:p>
          <w:p>
            <w:pPr>
              <w:adjustRightInd w:val="0"/>
              <w:snapToGrid w:val="0"/>
              <w:spacing w:line="420" w:lineRule="exact"/>
              <w:rPr>
                <w:rFonts w:hint="eastAsia" w:ascii="宋体" w:hAnsi="宋体" w:cs="宋体"/>
                <w:kern w:val="0"/>
                <w:sz w:val="21"/>
                <w:szCs w:val="22"/>
                <w:highlight w:val="white"/>
                <w:lang w:val="en-US" w:eastAsia="zh-CN" w:bidi="ar-SA"/>
              </w:rPr>
            </w:pPr>
            <w:r>
              <w:rPr>
                <w:rFonts w:hint="eastAsia" w:ascii="宋体" w:hAnsi="宋体" w:cs="宋体"/>
                <w:kern w:val="0"/>
                <w:sz w:val="21"/>
                <w:szCs w:val="22"/>
                <w:highlight w:val="white"/>
                <w:lang w:val="en-US" w:eastAsia="zh-CN" w:bidi="ar-SA"/>
              </w:rPr>
              <w:t>3、监狱企业、残疾人福利性单位视同小型、微型企业，监狱企业、残疾人福利性单位属于小微企业不重复享受政策。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268" w:type="dxa"/>
            <w:gridSpan w:val="3"/>
            <w:tcBorders>
              <w:top w:val="single" w:color="auto" w:sz="6" w:space="0"/>
              <w:bottom w:val="single" w:color="auto" w:sz="6" w:space="0"/>
              <w:right w:val="single" w:color="auto" w:sz="6" w:space="0"/>
            </w:tcBorders>
            <w:vAlign w:val="center"/>
          </w:tcPr>
          <w:p>
            <w:pPr>
              <w:adjustRightInd w:val="0"/>
              <w:snapToGrid w:val="0"/>
              <w:spacing w:before="156"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820" w:type="dxa"/>
            <w:tcBorders>
              <w:top w:val="single" w:color="auto" w:sz="6" w:space="0"/>
              <w:left w:val="single" w:color="auto" w:sz="6" w:space="0"/>
              <w:bottom w:val="single" w:color="auto" w:sz="6" w:space="0"/>
              <w:right w:val="double" w:color="auto" w:sz="4" w:space="0"/>
            </w:tcBorders>
            <w:vAlign w:val="center"/>
          </w:tcPr>
          <w:p>
            <w:pPr>
              <w:adjustRightInd w:val="0"/>
              <w:snapToGrid w:val="0"/>
              <w:spacing w:line="420" w:lineRule="exact"/>
              <w:rPr>
                <w:rFonts w:hint="default" w:asciiTheme="minorEastAsia" w:hAnsiTheme="minorEastAsia" w:eastAsiaTheme="minorEastAsia"/>
                <w:color w:val="auto"/>
                <w:szCs w:val="21"/>
                <w:highlight w:val="none"/>
                <w:lang w:val="en-US"/>
              </w:rPr>
            </w:pPr>
            <w:bookmarkStart w:id="86" w:name="EB33912c3aed0043a2ab13071ffc0a8aa2"/>
            <w:r>
              <w:rPr>
                <w:rFonts w:hint="eastAsia" w:ascii="宋体" w:hAnsi="宋体" w:eastAsia="宋体" w:cs="宋体"/>
                <w:color w:val="auto"/>
                <w:kern w:val="0"/>
                <w:sz w:val="21"/>
                <w:szCs w:val="22"/>
                <w:highlight w:val="none"/>
                <w:lang w:val="en-US" w:eastAsia="zh-CN" w:bidi="ar-SA"/>
              </w:rPr>
              <w:t>评审后综合总得分由高到低顺序排列，得分相同的，按投标报价由低到高顺序排列；得分且投标报价相同的，按技术要求得分高低顺序排列。</w:t>
            </w:r>
            <w:bookmarkEnd w:id="86"/>
            <w:r>
              <w:rPr>
                <w:rFonts w:hint="eastAsia" w:ascii="宋体" w:hAnsi="宋体" w:eastAsia="宋体" w:cs="宋体"/>
                <w:color w:val="auto"/>
                <w:kern w:val="0"/>
                <w:sz w:val="21"/>
                <w:szCs w:val="22"/>
                <w:highlight w:val="none"/>
                <w:lang w:val="en-US" w:eastAsia="zh-CN" w:bidi="ar-SA"/>
              </w:rPr>
              <w:t>本项目综合得分排名前三的投标人为本项目的中标候选供应商，共同承担本项目的物资配送工作</w:t>
            </w:r>
            <w:r>
              <w:rPr>
                <w:rFonts w:hint="eastAsia" w:ascii="宋体" w:hAnsi="宋体" w:cs="宋体"/>
                <w:color w:val="auto"/>
                <w:kern w:val="0"/>
                <w:sz w:val="21"/>
                <w:szCs w:val="22"/>
                <w:highlight w:val="none"/>
                <w:lang w:val="en-US" w:eastAsia="zh-CN" w:bidi="ar-SA"/>
              </w:rPr>
              <w:t>，食堂承包商在中标供应商中自主下单</w:t>
            </w:r>
            <w:r>
              <w:rPr>
                <w:rFonts w:hint="eastAsia" w:ascii="宋体" w:hAnsi="宋体" w:eastAsia="宋体" w:cs="宋体"/>
                <w:color w:val="auto"/>
                <w:kern w:val="0"/>
                <w:sz w:val="21"/>
                <w:szCs w:val="22"/>
                <w:highlight w:val="none"/>
                <w:lang w:val="en-US" w:eastAsia="zh-CN" w:bidi="ar-SA"/>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restart"/>
            <w:tcBorders>
              <w:top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宋体" w:hAnsi="宋体"/>
                <w:kern w:val="2"/>
                <w:sz w:val="21"/>
                <w:szCs w:val="21"/>
                <w:highlight w:val="white"/>
                <w:lang w:val="en-US" w:eastAsia="zh-CN" w:bidi="ar-SA"/>
              </w:rPr>
              <w:t>第10款</w:t>
            </w:r>
          </w:p>
        </w:tc>
        <w:tc>
          <w:tcPr>
            <w:tcW w:w="2268" w:type="dxa"/>
            <w:gridSpan w:val="3"/>
            <w:tcBorders>
              <w:top w:val="single" w:color="auto" w:sz="6" w:space="0"/>
              <w:bottom w:val="single" w:color="auto" w:sz="6" w:space="0"/>
              <w:right w:val="single" w:color="auto" w:sz="6" w:space="0"/>
            </w:tcBorders>
            <w:vAlign w:val="center"/>
          </w:tcPr>
          <w:p>
            <w:pPr>
              <w:widowControl w:val="0"/>
              <w:adjustRightInd w:val="0"/>
              <w:snapToGrid w:val="0"/>
              <w:spacing w:before="156" w:beforeLines="50" w:after="100" w:afterAutospacing="1" w:line="127" w:lineRule="atLeast"/>
              <w:jc w:val="center"/>
              <w:rPr>
                <w:rFonts w:hint="eastAsia" w:ascii="宋体" w:hAnsi="宋体" w:eastAsia="宋体" w:cs="宋体"/>
                <w:kern w:val="2"/>
                <w:sz w:val="21"/>
                <w:szCs w:val="24"/>
                <w:lang w:val="en-US" w:eastAsia="zh-CN" w:bidi="ar-SA"/>
              </w:rPr>
            </w:pPr>
            <w:r>
              <w:rPr>
                <w:rFonts w:hint="eastAsia"/>
                <w:kern w:val="2"/>
                <w:sz w:val="21"/>
                <w:szCs w:val="21"/>
                <w:highlight w:val="white"/>
                <w:lang w:val="en-US" w:eastAsia="zh-CN" w:bidi="ar-SA"/>
              </w:rPr>
              <w:t>无效投标的规定</w:t>
            </w:r>
          </w:p>
        </w:tc>
        <w:tc>
          <w:tcPr>
            <w:tcW w:w="4820" w:type="dxa"/>
            <w:tcBorders>
              <w:top w:val="single" w:color="auto" w:sz="6" w:space="0"/>
              <w:left w:val="single" w:color="auto" w:sz="6" w:space="0"/>
              <w:bottom w:val="single" w:color="auto" w:sz="6" w:space="0"/>
              <w:right w:val="double" w:color="auto" w:sz="4"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投标文件中除前章节条款所述情况外，有下列情况之一的，也应在符合性检查时按照无效投标处理： </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（1）投标文件载明的投标范围小于招标文件规定的招标范围的(缺漏招标文件所要求的内容)；</w:t>
            </w:r>
          </w:p>
          <w:p>
            <w:pPr>
              <w:widowControl w:val="0"/>
              <w:adjustRightInd w:val="0"/>
              <w:snapToGrid w:val="0"/>
              <w:spacing w:line="360" w:lineRule="auto"/>
              <w:jc w:val="both"/>
              <w:rPr>
                <w:rFonts w:hint="eastAsia" w:cs="Times New Roman" w:asciiTheme="minorEastAsia" w:hAnsiTheme="minorEastAsia" w:eastAsiaTheme="minorEastAsia"/>
                <w:szCs w:val="21"/>
                <w:highlight w:val="yellow"/>
                <w:lang w:val="en-US" w:eastAsia="zh-CN"/>
              </w:rPr>
            </w:pPr>
            <w:r>
              <w:rPr>
                <w:rFonts w:hint="eastAsia" w:ascii="宋体" w:hAnsi="宋体" w:cs="宋体"/>
                <w:kern w:val="0"/>
                <w:sz w:val="21"/>
                <w:szCs w:val="22"/>
                <w:highlight w:val="white"/>
                <w:lang w:val="en-US" w:eastAsia="zh-CN" w:bidi="ar-SA"/>
              </w:rPr>
              <w:t>（2）不符合法律、法规和招标文件其他规定的实质性内容。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continue"/>
            <w:tcBorders>
              <w:bottom w:val="single" w:color="auto" w:sz="6" w:space="0"/>
            </w:tcBorders>
            <w:vAlign w:val="center"/>
          </w:tcPr>
          <w:p>
            <w:pPr>
              <w:adjustRightInd w:val="0"/>
              <w:snapToGrid w:val="0"/>
              <w:spacing w:before="156" w:beforeLines="50" w:line="360" w:lineRule="auto"/>
              <w:jc w:val="center"/>
              <w:rPr>
                <w:rFonts w:hint="eastAsia" w:asciiTheme="minorEastAsia" w:hAnsiTheme="minorEastAsia" w:eastAsiaTheme="minorEastAsia"/>
                <w:szCs w:val="21"/>
              </w:rPr>
            </w:pPr>
          </w:p>
        </w:tc>
        <w:tc>
          <w:tcPr>
            <w:tcW w:w="2268" w:type="dxa"/>
            <w:gridSpan w:val="3"/>
            <w:tcBorders>
              <w:top w:val="single" w:color="auto" w:sz="6" w:space="0"/>
              <w:bottom w:val="single" w:color="auto" w:sz="6" w:space="0"/>
              <w:right w:val="single" w:color="auto" w:sz="6" w:space="0"/>
            </w:tcBorders>
            <w:vAlign w:val="center"/>
          </w:tcPr>
          <w:p>
            <w:pPr>
              <w:widowControl w:val="0"/>
              <w:adjustRightInd w:val="0"/>
              <w:snapToGrid w:val="0"/>
              <w:spacing w:before="156" w:beforeLines="50" w:after="100" w:afterAutospacing="1" w:line="127" w:lineRule="atLeast"/>
              <w:jc w:val="center"/>
              <w:rPr>
                <w:rFonts w:hint="eastAsia" w:ascii="宋体" w:hAnsi="宋体" w:eastAsia="宋体" w:cs="宋体"/>
                <w:kern w:val="2"/>
                <w:sz w:val="21"/>
                <w:szCs w:val="24"/>
                <w:lang w:val="en-US" w:eastAsia="zh-CN" w:bidi="ar-SA"/>
              </w:rPr>
            </w:pPr>
            <w:r>
              <w:rPr>
                <w:rFonts w:hint="eastAsia"/>
                <w:kern w:val="2"/>
                <w:sz w:val="21"/>
                <w:szCs w:val="21"/>
                <w:highlight w:val="white"/>
                <w:lang w:val="en-US" w:eastAsia="zh-CN" w:bidi="ar-SA"/>
              </w:rPr>
              <w:t>废标的规定</w:t>
            </w:r>
          </w:p>
        </w:tc>
        <w:tc>
          <w:tcPr>
            <w:tcW w:w="4820" w:type="dxa"/>
            <w:tcBorders>
              <w:top w:val="single" w:color="auto" w:sz="6" w:space="0"/>
              <w:left w:val="single" w:color="auto" w:sz="6" w:space="0"/>
              <w:bottom w:val="single" w:color="auto" w:sz="6" w:space="0"/>
              <w:right w:val="double" w:color="auto" w:sz="4" w:space="0"/>
            </w:tcBorders>
            <w:vAlign w:val="center"/>
          </w:tcPr>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有下列情形之一时，评标委员会应予废标： </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（1）符合专业条件的投标人或者对招标文件作实质性响应的投标人不足三家的； </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（2）出现影响采购公正的违法、违规行为的； </w:t>
            </w:r>
          </w:p>
          <w:p>
            <w:pPr>
              <w:widowControl w:val="0"/>
              <w:adjustRightInd w:val="0"/>
              <w:snapToGrid w:val="0"/>
              <w:spacing w:line="360" w:lineRule="auto"/>
              <w:jc w:val="both"/>
              <w:rPr>
                <w:rFonts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 xml:space="preserve">（3）投标人的报价均超过了采购预算，采购人不能支付的； </w:t>
            </w:r>
          </w:p>
          <w:p>
            <w:pPr>
              <w:widowControl w:val="0"/>
              <w:adjustRightInd w:val="0"/>
              <w:snapToGrid w:val="0"/>
              <w:spacing w:line="360" w:lineRule="auto"/>
              <w:jc w:val="both"/>
              <w:rPr>
                <w:rFonts w:hint="eastAsia" w:cs="Times New Roman" w:asciiTheme="minorEastAsia" w:hAnsiTheme="minorEastAsia" w:eastAsiaTheme="minorEastAsia"/>
                <w:szCs w:val="21"/>
                <w:highlight w:val="yellow"/>
                <w:lang w:val="en-US" w:eastAsia="zh-CN"/>
              </w:rPr>
            </w:pPr>
            <w:r>
              <w:rPr>
                <w:rFonts w:hint="eastAsia" w:ascii="宋体" w:hAnsi="宋体" w:cs="宋体"/>
                <w:kern w:val="0"/>
                <w:sz w:val="21"/>
                <w:szCs w:val="22"/>
                <w:highlight w:val="white"/>
                <w:lang w:val="en-US" w:eastAsia="zh-CN" w:bidi="ar-SA"/>
              </w:rPr>
              <w:t xml:space="preserve">（4）因重大变故，采购任务取消的。 </w:t>
            </w:r>
          </w:p>
        </w:tc>
      </w:tr>
    </w:tbl>
    <w:p>
      <w:pPr>
        <w:adjustRightInd w:val="0"/>
        <w:snapToGrid w:val="0"/>
        <w:spacing w:before="156" w:beforeLines="50" w:line="360" w:lineRule="auto"/>
        <w:ind w:firstLine="420" w:firstLineChars="200"/>
        <w:jc w:val="left"/>
        <w:rPr>
          <w:rFonts w:ascii="黑体" w:hAnsi="华文中宋" w:eastAsia="黑体"/>
          <w:b/>
          <w:sz w:val="28"/>
          <w:szCs w:val="28"/>
        </w:rPr>
      </w:pPr>
      <w:r>
        <w:rPr>
          <w:rFonts w:asciiTheme="minorEastAsia" w:hAnsiTheme="minorEastAsia" w:eastAsiaTheme="minorEastAsia"/>
        </w:rPr>
        <w:br w:type="page"/>
      </w:r>
    </w:p>
    <w:p>
      <w:pPr>
        <w:pStyle w:val="4"/>
        <w:keepNext w:val="0"/>
        <w:keepLines w:val="0"/>
        <w:adjustRightInd w:val="0"/>
        <w:snapToGrid w:val="0"/>
        <w:spacing w:before="156" w:beforeLines="50"/>
        <w:jc w:val="center"/>
        <w:rPr>
          <w:rFonts w:ascii="黑体" w:hAnsi="华文中宋" w:eastAsia="黑体"/>
          <w:sz w:val="28"/>
          <w:szCs w:val="28"/>
        </w:rPr>
      </w:pPr>
      <w:bookmarkStart w:id="87" w:name="_Toc20651215"/>
      <w:r>
        <w:rPr>
          <w:rFonts w:hint="eastAsia" w:ascii="黑体" w:hAnsi="华文中宋" w:eastAsia="黑体"/>
          <w:sz w:val="28"/>
          <w:szCs w:val="28"/>
        </w:rPr>
        <w:t>第二节 评标方法及标准</w:t>
      </w:r>
      <w:bookmarkEnd w:id="87"/>
    </w:p>
    <w:p>
      <w:pPr>
        <w:pStyle w:val="5"/>
        <w:keepNext w:val="0"/>
        <w:keepLines w:val="0"/>
        <w:adjustRightInd w:val="0"/>
        <w:snapToGrid w:val="0"/>
        <w:spacing w:before="156" w:beforeLines="50" w:after="0" w:line="360" w:lineRule="auto"/>
        <w:rPr>
          <w:rFonts w:ascii="黑体" w:hAnsi="黑体" w:eastAsia="黑体"/>
          <w:sz w:val="24"/>
          <w:szCs w:val="24"/>
        </w:rPr>
      </w:pPr>
      <w:bookmarkStart w:id="88" w:name="_Toc20651216"/>
      <w:r>
        <w:rPr>
          <w:rFonts w:hint="eastAsia" w:ascii="黑体" w:hAnsi="黑体" w:eastAsia="黑体"/>
          <w:sz w:val="24"/>
          <w:szCs w:val="24"/>
        </w:rPr>
        <w:t>1．评标方法</w:t>
      </w:r>
      <w:bookmarkEnd w:id="88"/>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1.2最低评标价，是指投标文件满足招标文件全部实质性要求，且投标报价最低的投标人为中标候选人的评标方法。</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1.3本采购项目评标方法见本章第一节“评标规范前附表”</w:t>
      </w:r>
      <w:r>
        <w:rPr>
          <w:rFonts w:hint="eastAsia" w:ascii="华文中宋" w:hAnsi="华文中宋" w:eastAsia="华文中宋"/>
          <w:bCs/>
          <w:szCs w:val="21"/>
        </w:rPr>
        <w:t>（</w:t>
      </w:r>
      <w:r>
        <w:rPr>
          <w:rFonts w:hint="eastAsia" w:asciiTheme="minorEastAsia" w:hAnsiTheme="minorEastAsia" w:eastAsiaTheme="minorEastAsia"/>
          <w:bCs/>
          <w:szCs w:val="21"/>
        </w:rPr>
        <w:t>以下简称</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89" w:name="_Toc20651217"/>
      <w:r>
        <w:rPr>
          <w:rFonts w:hint="eastAsia" w:ascii="黑体" w:hAnsi="黑体" w:eastAsia="黑体"/>
          <w:bCs w:val="0"/>
          <w:sz w:val="24"/>
          <w:szCs w:val="24"/>
        </w:rPr>
        <w:t>2．评标程序</w:t>
      </w:r>
      <w:bookmarkEnd w:id="89"/>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2.1评标程序分为投标文件符合性审查、澄清有关问题、比较和评价、推荐中标候选人。</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0" w:name="_Toc20651218"/>
      <w:r>
        <w:rPr>
          <w:rFonts w:hint="eastAsia" w:ascii="黑体" w:hAnsi="黑体" w:eastAsia="黑体"/>
          <w:bCs w:val="0"/>
          <w:sz w:val="24"/>
          <w:szCs w:val="24"/>
        </w:rPr>
        <w:t>3．投标文件的符合性审查</w:t>
      </w:r>
      <w:bookmarkEnd w:id="90"/>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3.1资格审查结束后，评标委员会依法按照本章第三节“投标文件的符合性审查”规定进行投标文件符合性。</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3.2符合性审查合格投标人少于3家的，应予废标。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3.3单一产品采购项目：提供相同品牌产品的不同投标人参加同一合同项下投标的，按</w:t>
      </w:r>
      <w:r>
        <w:rPr>
          <w:rFonts w:hint="eastAsia" w:asciiTheme="minorEastAsia" w:hAnsiTheme="minorEastAsia" w:eastAsiaTheme="minorEastAsia"/>
          <w:szCs w:val="21"/>
          <w:lang w:val="en-US" w:eastAsia="zh-CN"/>
        </w:rPr>
        <w:t>不同</w:t>
      </w:r>
      <w:r>
        <w:rPr>
          <w:rFonts w:hint="eastAsia" w:asciiTheme="minorEastAsia" w:hAnsiTheme="minorEastAsia" w:eastAsiaTheme="minorEastAsia"/>
          <w:szCs w:val="21"/>
        </w:rPr>
        <w:t>投标人计算。</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3.4非单一产品采购项目：采购人或者采购代理机构将在</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中载明核心产品。多家投标人提供的核心产品品牌相同的，视为相同品牌，按本章本节第3.3款规定处理。</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1" w:name="_Toc20651219"/>
      <w:r>
        <w:rPr>
          <w:rFonts w:hint="eastAsia" w:ascii="黑体" w:hAnsi="黑体" w:eastAsia="黑体"/>
          <w:bCs w:val="0"/>
          <w:sz w:val="24"/>
          <w:szCs w:val="24"/>
        </w:rPr>
        <w:t>4．投标文件的澄清</w:t>
      </w:r>
      <w:bookmarkEnd w:id="91"/>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4.1对于投标文件中含义不明确、同类问题表述不一致或者有明显文字和计算错误的内容，评标委员会应当以书面形式要求投标人作出必要的澄清、说明或者补正。</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4.2投标文件的投标报价出现前后不一致的，除</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另有规定外，按照下列规定修正：</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（1）投标文件中开标一览表内容与投标文件中相应内容不一致的，以开标一览表为准；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（2）大写金额和小写金额不一致的，以大写金额为准；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（3）单价金额小数点或者百分比有明显错位的，以开标一览表的总价为准，并修改单价；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（4）总价金额与按单价汇总金额不一致的，以单价金额计算结果为准。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4.3投标文件报价同时出现两种以上不一致的，按照前款规定的顺序修正。修正后的报价由投标人代表签字或者加盖单位章确认后产生约束力，投标人不确认的，其投标无效。</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4.5有效的书面澄清材料，是投标文件的补充材料，成为投标文件的组成部分。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2" w:name="_Toc20651220"/>
      <w:r>
        <w:rPr>
          <w:rFonts w:hint="eastAsia" w:ascii="黑体" w:hAnsi="黑体" w:eastAsia="黑体"/>
          <w:bCs w:val="0"/>
          <w:sz w:val="24"/>
          <w:szCs w:val="24"/>
        </w:rPr>
        <w:t>5．投标文件的比较与评价</w:t>
      </w:r>
      <w:bookmarkEnd w:id="92"/>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5.1评标委员会依法按照本章第三节“投标文件的比较与评价”规定，对资格性检查和符合性检查合格的投标文件进行比较和评价。</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5.2单一产品采购项目：提供相同品牌产品的不同投标人参加同一合同项下投标的，按</w:t>
      </w:r>
      <w:r>
        <w:rPr>
          <w:rFonts w:hint="eastAsia" w:asciiTheme="minorEastAsia" w:hAnsiTheme="minorEastAsia" w:eastAsiaTheme="minorEastAsia"/>
          <w:bCs/>
          <w:szCs w:val="21"/>
          <w:lang w:val="en-US" w:eastAsia="zh-CN"/>
        </w:rPr>
        <w:t>不同</w:t>
      </w:r>
      <w:r>
        <w:rPr>
          <w:rFonts w:hint="eastAsia" w:asciiTheme="minorEastAsia" w:hAnsiTheme="minorEastAsia" w:eastAsiaTheme="minorEastAsia"/>
          <w:bCs/>
          <w:szCs w:val="21"/>
        </w:rPr>
        <w:t>投标人计算。</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5.3政府采购政策：</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价格评审优惠：</w:t>
      </w:r>
      <w:r>
        <w:rPr>
          <w:rFonts w:hint="eastAsia" w:asciiTheme="minorEastAsia" w:hAnsiTheme="minorEastAsia" w:eastAsiaTheme="minorEastAsia"/>
          <w:szCs w:val="21"/>
        </w:rPr>
        <w:t>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及第二章“投标须知”的相关规定给予一定的价格折扣。</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（2）优先采购：</w:t>
      </w:r>
      <w:r>
        <w:rPr>
          <w:rFonts w:hint="eastAsia" w:asciiTheme="minorEastAsia" w:hAnsiTheme="minorEastAsia" w:eastAsiaTheme="minorEastAsia"/>
          <w:bCs/>
          <w:szCs w:val="21"/>
        </w:rPr>
        <w:t>评审时按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bCs/>
          <w:szCs w:val="21"/>
        </w:rPr>
        <w:t>及第二章</w:t>
      </w:r>
      <w:r>
        <w:rPr>
          <w:rFonts w:hint="eastAsia" w:asciiTheme="minorEastAsia" w:hAnsiTheme="minorEastAsia" w:eastAsiaTheme="minorEastAsia"/>
          <w:szCs w:val="21"/>
        </w:rPr>
        <w:t>“投标须知”</w:t>
      </w:r>
      <w:r>
        <w:rPr>
          <w:rFonts w:hint="eastAsia" w:asciiTheme="minorEastAsia" w:hAnsiTheme="minorEastAsia" w:eastAsiaTheme="minorEastAsia"/>
          <w:bCs/>
          <w:szCs w:val="21"/>
        </w:rPr>
        <w:t>的相关规定给予价格折扣或者加分。</w:t>
      </w:r>
    </w:p>
    <w:p>
      <w:pPr>
        <w:pStyle w:val="5"/>
        <w:keepNext w:val="0"/>
        <w:keepLines w:val="0"/>
        <w:adjustRightInd w:val="0"/>
        <w:snapToGrid w:val="0"/>
        <w:spacing w:before="156" w:beforeLines="50" w:after="0" w:line="360" w:lineRule="auto"/>
        <w:rPr>
          <w:rFonts w:ascii="黑体" w:hAnsi="黑体" w:eastAsia="黑体"/>
          <w:color w:val="FF0000"/>
          <w:sz w:val="24"/>
          <w:szCs w:val="24"/>
        </w:rPr>
      </w:pPr>
      <w:bookmarkStart w:id="93" w:name="_Toc20651221"/>
      <w:r>
        <w:rPr>
          <w:rFonts w:hint="eastAsia" w:ascii="黑体" w:hAnsi="黑体" w:eastAsia="黑体"/>
          <w:bCs w:val="0"/>
          <w:sz w:val="24"/>
          <w:szCs w:val="24"/>
        </w:rPr>
        <w:t>6．</w:t>
      </w:r>
      <w:r>
        <w:rPr>
          <w:rFonts w:hint="eastAsia" w:ascii="黑体" w:hAnsi="黑体" w:eastAsia="黑体"/>
          <w:sz w:val="24"/>
          <w:szCs w:val="24"/>
        </w:rPr>
        <w:t>推荐中标候选人</w:t>
      </w:r>
      <w:bookmarkEnd w:id="93"/>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6.1最低评标价法：</w:t>
      </w:r>
      <w:r>
        <w:rPr>
          <w:rFonts w:hint="eastAsia" w:asciiTheme="minorEastAsia" w:hAnsiTheme="minorEastAsia" w:eastAsiaTheme="minorEastAsia"/>
          <w:bCs/>
          <w:szCs w:val="21"/>
        </w:rPr>
        <w:t>评标结果按算术修正和落实政府采购政策需进行的价格扣除后的投标报价由低到高顺序排列。报价相同的并列，按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规定的方式确定中标人；</w:t>
      </w:r>
      <w:r>
        <w:rPr>
          <w:rFonts w:hint="eastAsia" w:asciiTheme="minorEastAsia" w:hAnsiTheme="minorEastAsia" w:eastAsiaTheme="minorEastAsia"/>
          <w:bCs/>
          <w:szCs w:val="21"/>
        </w:rPr>
        <w:t>招标文件未规定的，采取随机抽取的方式确定。</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6.2综合评分法：评标结果按评审后得分由高到低顺序排列。得分相同的，按投标报价由低到高顺序排列。得分且投标报价相同的并列，按</w:t>
      </w:r>
      <w:r>
        <w:rPr>
          <w:rFonts w:hint="eastAsia" w:asciiTheme="minorEastAsia" w:hAnsiTheme="minorEastAsia" w:eastAsiaTheme="minorEastAsia"/>
          <w:b/>
          <w:bCs/>
          <w:szCs w:val="21"/>
        </w:rPr>
        <w:t>【评标方法及标准前附表】</w:t>
      </w:r>
      <w:r>
        <w:rPr>
          <w:rFonts w:hint="eastAsia" w:asciiTheme="minorEastAsia" w:hAnsiTheme="minorEastAsia" w:eastAsiaTheme="minorEastAsia"/>
          <w:bCs/>
          <w:szCs w:val="21"/>
        </w:rPr>
        <w:t>规定的方式确定中标人；招标文件未规定的，采取随机抽取的方式确定。</w:t>
      </w:r>
    </w:p>
    <w:p>
      <w:pPr>
        <w:pStyle w:val="5"/>
        <w:keepNext w:val="0"/>
        <w:keepLines w:val="0"/>
        <w:adjustRightInd w:val="0"/>
        <w:snapToGrid w:val="0"/>
        <w:spacing w:before="156" w:beforeLines="50" w:after="0" w:line="360" w:lineRule="auto"/>
        <w:rPr>
          <w:rFonts w:ascii="黑体" w:hAnsi="黑体" w:eastAsia="黑体"/>
          <w:sz w:val="24"/>
          <w:szCs w:val="24"/>
        </w:rPr>
      </w:pPr>
      <w:bookmarkStart w:id="94" w:name="_Toc20651222"/>
      <w:r>
        <w:rPr>
          <w:rFonts w:hint="eastAsia" w:ascii="黑体" w:hAnsi="黑体" w:eastAsia="黑体"/>
          <w:bCs w:val="0"/>
          <w:sz w:val="24"/>
          <w:szCs w:val="24"/>
        </w:rPr>
        <w:t>7．</w:t>
      </w:r>
      <w:r>
        <w:rPr>
          <w:rFonts w:hint="eastAsia" w:ascii="黑体" w:hAnsi="黑体" w:eastAsia="黑体"/>
          <w:sz w:val="24"/>
          <w:szCs w:val="24"/>
        </w:rPr>
        <w:t>编写评标报告</w:t>
      </w:r>
      <w:bookmarkEnd w:id="94"/>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7.1评标</w:t>
      </w:r>
      <w:r>
        <w:rPr>
          <w:rFonts w:hint="eastAsia" w:asciiTheme="minorEastAsia" w:hAnsiTheme="minorEastAsia" w:eastAsiaTheme="minorEastAsia"/>
          <w:bCs/>
          <w:szCs w:val="21"/>
        </w:rPr>
        <w:t>委员会</w:t>
      </w:r>
      <w:r>
        <w:rPr>
          <w:rFonts w:hint="eastAsia" w:asciiTheme="minorEastAsia" w:hAnsiTheme="minorEastAsia" w:eastAsiaTheme="minorEastAsia"/>
          <w:szCs w:val="21"/>
        </w:rPr>
        <w:t>根据全体评标成员签字的原始评标记录和评标结果编写评标报告。</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7.2</w:t>
      </w:r>
      <w:r>
        <w:rPr>
          <w:rFonts w:hint="eastAsia"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5" w:name="_Toc20651223"/>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95"/>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8.2汇总完成后，除下列情形外，任何人不得修改评标结果：</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pPr>
        <w:adjustRightInd w:val="0"/>
        <w:snapToGrid w:val="0"/>
        <w:spacing w:before="156" w:beforeLines="50" w:line="360" w:lineRule="auto"/>
        <w:ind w:firstLine="420" w:firstLineChars="200"/>
        <w:jc w:val="left"/>
        <w:rPr>
          <w:rFonts w:asciiTheme="minorEastAsia" w:hAnsiTheme="minorEastAsia" w:eastAsiaTheme="minorEastAsia"/>
          <w:b/>
          <w:bCs/>
          <w:szCs w:val="21"/>
        </w:rPr>
      </w:pPr>
      <w:r>
        <w:rPr>
          <w:rFonts w:hint="eastAsia"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6" w:name="_Toc20651224"/>
      <w:r>
        <w:rPr>
          <w:rFonts w:hint="eastAsia" w:ascii="黑体" w:hAnsi="黑体" w:eastAsia="黑体"/>
          <w:sz w:val="24"/>
          <w:szCs w:val="24"/>
        </w:rPr>
        <w:t>9．</w:t>
      </w:r>
      <w:r>
        <w:rPr>
          <w:rFonts w:hint="eastAsia" w:ascii="黑体" w:hAnsi="黑体" w:eastAsia="黑体"/>
          <w:bCs w:val="0"/>
          <w:sz w:val="24"/>
          <w:szCs w:val="24"/>
        </w:rPr>
        <w:t>停止评标</w:t>
      </w:r>
      <w:bookmarkEnd w:id="96"/>
    </w:p>
    <w:p>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pPr>
        <w:adjustRightInd w:val="0"/>
        <w:snapToGrid w:val="0"/>
        <w:spacing w:before="156" w:beforeLines="50" w:line="360" w:lineRule="auto"/>
        <w:jc w:val="left"/>
        <w:rPr>
          <w:rFonts w:ascii="黑体" w:hAnsi="黑体" w:eastAsia="黑体"/>
          <w:b/>
          <w:sz w:val="24"/>
        </w:rPr>
      </w:pPr>
      <w:r>
        <w:rPr>
          <w:rFonts w:hint="eastAsia" w:ascii="黑体" w:hAnsi="黑体" w:eastAsia="黑体"/>
          <w:b/>
          <w:sz w:val="24"/>
        </w:rPr>
        <w:t>10.废标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 根据有关法律法规和招标文件的有关规定，如出现下列情况之一的，应予以废标：</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（1）符合专业条件的投标人或者对招标文件作实质响应的投标人不足三家的；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（2）出现影响采购公正的违法、违规行为的；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（3）投标人的报价均超过招标人项目采购预算，招标人不能支付的；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（4）因重大变故，采购任务取消的。</w:t>
      </w:r>
    </w:p>
    <w:p>
      <w:pPr>
        <w:pStyle w:val="5"/>
        <w:keepNext w:val="0"/>
        <w:keepLines w:val="0"/>
        <w:adjustRightInd w:val="0"/>
        <w:snapToGrid w:val="0"/>
        <w:spacing w:before="156" w:beforeLines="50" w:after="0" w:line="360" w:lineRule="auto"/>
        <w:rPr>
          <w:rFonts w:ascii="黑体" w:hAnsi="黑体" w:eastAsia="黑体"/>
          <w:bCs w:val="0"/>
          <w:sz w:val="24"/>
          <w:szCs w:val="24"/>
        </w:rPr>
      </w:pPr>
      <w:bookmarkStart w:id="97" w:name="_Toc20651225"/>
      <w:r>
        <w:rPr>
          <w:rFonts w:hint="eastAsia" w:ascii="黑体" w:hAnsi="黑体" w:eastAsia="黑体" w:cs="宋体"/>
          <w:kern w:val="0"/>
          <w:sz w:val="24"/>
          <w:szCs w:val="24"/>
        </w:rPr>
        <w:t>11．重新组建评标委员会进行评标</w:t>
      </w:r>
      <w:bookmarkEnd w:id="97"/>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（1）评标委员会组成不符合《政府采购货物和服务招标投标管理办法》规定的；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（2）有《政府采购货物和服务招标投标管理办法》第六十二条第一至五项情形的；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（3）评标委员会及其成员独立评标受到非法干预的；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（4）有政府采购法实施条例第七十五条规定的违法行为的。</w:t>
      </w:r>
    </w:p>
    <w:p>
      <w:pPr>
        <w:adjustRightInd w:val="0"/>
        <w:snapToGrid w:val="0"/>
        <w:spacing w:before="156" w:beforeLines="50" w:line="360" w:lineRule="auto"/>
        <w:ind w:firstLine="420" w:firstLineChars="200"/>
        <w:jc w:val="left"/>
        <w:rPr>
          <w:rFonts w:ascii="黑体" w:hAnsi="华文中宋" w:eastAsia="黑体"/>
          <w:b/>
          <w:sz w:val="32"/>
          <w:szCs w:val="32"/>
        </w:rPr>
      </w:pPr>
      <w:r>
        <w:rPr>
          <w:rFonts w:hint="eastAsia" w:asciiTheme="minorEastAsia" w:hAnsiTheme="minorEastAsia" w:eastAsiaTheme="minorEastAsia"/>
          <w:szCs w:val="21"/>
        </w:rPr>
        <w:t>11.2有违法违规行为的原评标委员会成员不得参加重新组建的评标委员会。</w:t>
      </w:r>
      <w:r>
        <w:rPr>
          <w:rFonts w:ascii="黑体" w:hAnsi="华文中宋" w:eastAsia="黑体"/>
          <w:b/>
          <w:sz w:val="32"/>
          <w:szCs w:val="32"/>
        </w:rPr>
        <w:br w:type="page"/>
      </w:r>
    </w:p>
    <w:p>
      <w:pPr>
        <w:pStyle w:val="4"/>
        <w:adjustRightInd w:val="0"/>
        <w:snapToGrid w:val="0"/>
        <w:jc w:val="center"/>
        <w:rPr>
          <w:rFonts w:ascii="黑体" w:hAnsi="华文中宋" w:eastAsia="黑体"/>
          <w:sz w:val="28"/>
          <w:szCs w:val="28"/>
        </w:rPr>
      </w:pPr>
      <w:bookmarkStart w:id="98" w:name="_Toc20651226"/>
      <w:r>
        <w:rPr>
          <w:rFonts w:hint="eastAsia" w:ascii="黑体" w:hAnsi="华文中宋" w:eastAsia="黑体"/>
          <w:sz w:val="28"/>
          <w:szCs w:val="28"/>
        </w:rPr>
        <w:t>第三节 投标文件的符合性审查</w:t>
      </w:r>
      <w:bookmarkEnd w:id="98"/>
    </w:p>
    <w:p>
      <w:pPr>
        <w:adjustRightInd w:val="0"/>
        <w:snapToGrid w:val="0"/>
        <w:spacing w:before="156" w:beforeLines="50" w:line="360" w:lineRule="auto"/>
        <w:rPr>
          <w:rFonts w:ascii="黑体" w:hAnsi="黑体" w:eastAsia="黑体"/>
          <w:b/>
          <w:sz w:val="24"/>
        </w:rPr>
      </w:pPr>
      <w:r>
        <w:rPr>
          <w:rFonts w:hint="eastAsia" w:ascii="黑体" w:hAnsi="黑体" w:eastAsia="黑体"/>
          <w:b/>
          <w:sz w:val="24"/>
        </w:rPr>
        <w:t>1.符合性审查</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1"/>
        </w:rPr>
        <w:t>评标委员会应按本章本节附表1“符合性审查表”所列审查项目及审查标准，</w:t>
      </w:r>
      <w:r>
        <w:rPr>
          <w:rFonts w:hint="eastAsia" w:asciiTheme="minorEastAsia" w:hAnsiTheme="minorEastAsia" w:eastAsiaTheme="minorEastAsia"/>
        </w:rPr>
        <w:t>对符合资格条件的投标人的投标文件进行符合性审查，以确定其是否满足招标文件的实质性要求。</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（2）投标人不得通过修正或撤销不合要求的偏离从而使其投标成为实质上响应的投标。</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1"/>
        </w:rPr>
        <w:t>1.2</w:t>
      </w:r>
      <w:r>
        <w:rPr>
          <w:rFonts w:hint="eastAsia"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pPr>
        <w:adjustRightInd w:val="0"/>
        <w:snapToGrid w:val="0"/>
        <w:spacing w:before="156" w:beforeLines="50" w:line="360" w:lineRule="auto"/>
        <w:jc w:val="left"/>
        <w:rPr>
          <w:rFonts w:ascii="黑体" w:hAnsi="黑体" w:eastAsia="黑体"/>
          <w:b/>
          <w:sz w:val="24"/>
        </w:rPr>
      </w:pPr>
      <w:r>
        <w:rPr>
          <w:rFonts w:hint="eastAsia" w:ascii="黑体" w:hAnsi="黑体" w:eastAsia="黑体"/>
          <w:b/>
          <w:sz w:val="24"/>
        </w:rPr>
        <w:t>2.投标无效</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2.1投标人存在下列情况之一的，符合性审查不合格，投标无效：</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（1）投标文件中商务技术文件未按照招标文件规定要求签署、盖章的；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（2）投标文件没有对招标文件的实质性要求和条件作出响应，或者对招标文件的偏离超出招标文件规定的偏离</w:t>
      </w:r>
      <w:r>
        <w:rPr>
          <w:rFonts w:hint="eastAsia" w:asciiTheme="minorEastAsia" w:hAnsiTheme="minorEastAsia" w:eastAsiaTheme="minorEastAsia"/>
        </w:rPr>
        <w:t>范围和幅度</w:t>
      </w:r>
      <w:r>
        <w:rPr>
          <w:rFonts w:hint="eastAsia" w:asciiTheme="minorEastAsia" w:hAnsiTheme="minorEastAsia" w:eastAsiaTheme="minorEastAsia"/>
          <w:szCs w:val="21"/>
        </w:rPr>
        <w:t>；</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（3）投标有效期不足的；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（4）投标文件含有采购人不能接受的附加条件的；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（5）不符合本节第1.1款规定符合性审查标准的；</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（6）法律、法规和招标文件规定的其他投标无效情形的。</w:t>
      </w:r>
    </w:p>
    <w:p>
      <w:pPr>
        <w:adjustRightInd w:val="0"/>
        <w:snapToGrid w:val="0"/>
        <w:spacing w:before="156" w:beforeLines="50"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b/>
          <w:kern w:val="0"/>
          <w:szCs w:val="21"/>
        </w:rPr>
        <w:t>投标无效</w:t>
      </w:r>
      <w:r>
        <w:rPr>
          <w:rFonts w:hint="eastAsia" w:asciiTheme="minorEastAsia" w:hAnsiTheme="minorEastAsia" w:eastAsiaTheme="minorEastAsia"/>
          <w:kern w:val="0"/>
          <w:szCs w:val="21"/>
        </w:rPr>
        <w:t>，并书面报告本级财政部门。</w:t>
      </w:r>
    </w:p>
    <w:p/>
    <w:p/>
    <w:p>
      <w:pPr>
        <w:widowControl/>
        <w:jc w:val="left"/>
        <w:rPr>
          <w:rFonts w:ascii="黑体" w:hAnsi="黑体"/>
          <w:b/>
          <w:color w:val="FF0000"/>
          <w:szCs w:val="21"/>
        </w:rPr>
      </w:pPr>
      <w:r>
        <w:rPr>
          <w:rFonts w:ascii="黑体" w:hAnsi="黑体"/>
          <w:b/>
          <w:color w:val="FF0000"/>
          <w:szCs w:val="21"/>
        </w:rPr>
        <w:br w:type="page"/>
      </w:r>
    </w:p>
    <w:p>
      <w:pPr>
        <w:pStyle w:val="5"/>
        <w:adjustRightInd w:val="0"/>
        <w:snapToGrid w:val="0"/>
        <w:spacing w:before="156" w:beforeLines="50" w:after="0" w:line="360" w:lineRule="auto"/>
        <w:rPr>
          <w:sz w:val="21"/>
          <w:szCs w:val="21"/>
        </w:rPr>
      </w:pPr>
      <w:bookmarkStart w:id="99" w:name="_Toc20651227"/>
      <w:r>
        <w:rPr>
          <w:rFonts w:hint="eastAsia"/>
          <w:sz w:val="21"/>
          <w:szCs w:val="21"/>
        </w:rPr>
        <w:t>附表1 符合性审查表</w:t>
      </w:r>
      <w:bookmarkEnd w:id="99"/>
    </w:p>
    <w:p>
      <w:pPr>
        <w:adjustRightInd w:val="0"/>
        <w:snapToGri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符合性审查表</w:t>
      </w:r>
    </w:p>
    <w:p>
      <w:pPr>
        <w:adjustRightInd w:val="0"/>
        <w:snapToGrid w:val="0"/>
        <w:spacing w:before="156"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项目名称：                                           采购代理编号： </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2686"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2686" w:type="dxa"/>
          </w:tcPr>
          <w:p>
            <w:pPr>
              <w:adjustRightInd w:val="0"/>
              <w:snapToGrid w:val="0"/>
              <w:spacing w:before="156" w:beforeLines="50" w:line="360" w:lineRule="auto"/>
              <w:jc w:val="left"/>
              <w:rPr>
                <w:rFonts w:cs="宋体"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9</w:t>
            </w:r>
          </w:p>
        </w:tc>
        <w:tc>
          <w:tcPr>
            <w:tcW w:w="2686" w:type="dxa"/>
          </w:tcPr>
          <w:p>
            <w:pPr>
              <w:adjustRightInd w:val="0"/>
              <w:snapToGrid w:val="0"/>
              <w:spacing w:before="156" w:beforeLines="50" w:line="360" w:lineRule="auto"/>
              <w:jc w:val="left"/>
              <w:rPr>
                <w:rFonts w:asciiTheme="minorEastAsia" w:hAnsiTheme="minorEastAsia" w:eastAsiaTheme="minorEastAsia"/>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10</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12</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13</w:t>
            </w:r>
          </w:p>
        </w:tc>
        <w:tc>
          <w:tcPr>
            <w:tcW w:w="2686" w:type="dxa"/>
            <w:vAlign w:val="center"/>
          </w:tcPr>
          <w:p>
            <w:pPr>
              <w:adjustRightInd w:val="0"/>
              <w:snapToGrid w:val="0"/>
              <w:spacing w:before="156" w:beforeLines="50" w:line="360" w:lineRule="auto"/>
              <w:rPr>
                <w:rFonts w:asciiTheme="minorEastAsia" w:hAnsiTheme="minorEastAsia" w:eastAsiaTheme="minorEastAsia"/>
                <w:color w:val="FF0000"/>
                <w:kern w:val="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14</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 w:val="2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15</w:t>
            </w:r>
          </w:p>
        </w:tc>
        <w:tc>
          <w:tcPr>
            <w:tcW w:w="2686" w:type="dxa"/>
            <w:vAlign w:val="center"/>
          </w:tcPr>
          <w:p>
            <w:pPr>
              <w:adjustRightInd w:val="0"/>
              <w:snapToGrid w:val="0"/>
              <w:spacing w:before="156" w:beforeLines="50" w:line="360" w:lineRule="auto"/>
              <w:rPr>
                <w:rFonts w:asciiTheme="minorEastAsia" w:hAnsiTheme="minorEastAsia" w:eastAsiaTheme="minorEastAsia"/>
                <w:color w:val="FF0000"/>
                <w:kern w:val="0"/>
                <w:sz w:val="2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16</w:t>
            </w:r>
          </w:p>
        </w:tc>
        <w:tc>
          <w:tcPr>
            <w:tcW w:w="2686" w:type="dxa"/>
          </w:tcPr>
          <w:p>
            <w:pPr>
              <w:adjustRightInd w:val="0"/>
              <w:snapToGrid w:val="0"/>
              <w:spacing w:before="156" w:beforeLines="50" w:line="360" w:lineRule="auto"/>
              <w:jc w:val="left"/>
              <w:rPr>
                <w:rFonts w:asciiTheme="minorEastAsia" w:hAnsiTheme="minorEastAsia" w:eastAsiaTheme="minorEastAsia"/>
                <w:color w:val="FF0000"/>
                <w:kern w:val="0"/>
                <w:sz w:val="20"/>
                <w:szCs w:val="21"/>
              </w:rPr>
            </w:pPr>
          </w:p>
        </w:tc>
        <w:tc>
          <w:tcPr>
            <w:tcW w:w="5691" w:type="dxa"/>
            <w:vAlign w:val="center"/>
          </w:tcPr>
          <w:p>
            <w:pPr>
              <w:adjustRightInd w:val="0"/>
              <w:snapToGrid w:val="0"/>
              <w:spacing w:before="156" w:beforeLines="50" w:line="360" w:lineRule="auto"/>
              <w:jc w:val="center"/>
              <w:rPr>
                <w:rFonts w:cs="宋体" w:asciiTheme="minorEastAsia" w:hAnsiTheme="minorEastAsia" w:eastAsiaTheme="minorEastAsia"/>
                <w:color w:val="FF0000"/>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pPr>
              <w:adjustRightInd w:val="0"/>
              <w:snapToGrid w:val="0"/>
              <w:spacing w:before="156" w:beforeLines="50" w:line="360" w:lineRule="auto"/>
              <w:jc w:val="center"/>
              <w:rPr>
                <w:rFonts w:cs="宋体" w:asciiTheme="minorEastAsia" w:hAnsiTheme="minorEastAsia" w:eastAsiaTheme="minorEastAsia"/>
                <w:kern w:val="0"/>
                <w:sz w:val="20"/>
                <w:szCs w:val="21"/>
              </w:rPr>
            </w:pPr>
          </w:p>
        </w:tc>
      </w:tr>
    </w:tbl>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p>
    <w:p>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pPr>
        <w:pStyle w:val="5"/>
        <w:rPr>
          <w:sz w:val="21"/>
          <w:szCs w:val="21"/>
        </w:rPr>
      </w:pPr>
      <w:bookmarkStart w:id="100" w:name="_Toc20651228"/>
      <w:r>
        <w:rPr>
          <w:rFonts w:hint="eastAsia"/>
          <w:sz w:val="21"/>
          <w:szCs w:val="21"/>
        </w:rPr>
        <w:t>附表1 符合性审查结果一览表</w:t>
      </w:r>
      <w:bookmarkEnd w:id="100"/>
    </w:p>
    <w:p>
      <w:pPr>
        <w:adjustRightInd w:val="0"/>
        <w:snapToGri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符合性审查结果一览表</w:t>
      </w:r>
    </w:p>
    <w:p>
      <w:pPr>
        <w:adjustRightInd w:val="0"/>
        <w:snapToGrid w:val="0"/>
        <w:spacing w:before="156"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项目名称：                                           采购代理编号：</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符合性审查结果</w:t>
            </w:r>
          </w:p>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符合性审查不合格原因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pPr>
              <w:adjustRightInd w:val="0"/>
              <w:snapToGrid w:val="0"/>
              <w:spacing w:line="360" w:lineRule="auto"/>
              <w:rPr>
                <w:rFonts w:asciiTheme="minorEastAsia" w:hAnsiTheme="minorEastAsia" w:eastAsiaTheme="minorEastAsia"/>
                <w:kern w:val="0"/>
                <w:sz w:val="24"/>
              </w:rPr>
            </w:pPr>
          </w:p>
        </w:tc>
        <w:tc>
          <w:tcPr>
            <w:tcW w:w="2963" w:type="dxa"/>
          </w:tcPr>
          <w:p>
            <w:pPr>
              <w:adjustRightInd w:val="0"/>
              <w:snapToGrid w:val="0"/>
              <w:spacing w:line="360" w:lineRule="auto"/>
              <w:rPr>
                <w:rFonts w:asciiTheme="minorEastAsia" w:hAnsiTheme="minorEastAsia" w:eastAsiaTheme="minorEastAsia"/>
                <w:kern w:val="0"/>
                <w:sz w:val="24"/>
              </w:rPr>
            </w:pPr>
          </w:p>
        </w:tc>
        <w:tc>
          <w:tcPr>
            <w:tcW w:w="2439" w:type="dxa"/>
          </w:tcPr>
          <w:p>
            <w:pPr>
              <w:adjustRightInd w:val="0"/>
              <w:snapToGrid w:val="0"/>
              <w:spacing w:line="360" w:lineRule="auto"/>
              <w:rPr>
                <w:rFonts w:asciiTheme="minorEastAsia" w:hAnsiTheme="minorEastAsia" w:eastAsiaTheme="minorEastAsia"/>
                <w:kern w:val="0"/>
                <w:sz w:val="24"/>
              </w:rPr>
            </w:pPr>
          </w:p>
        </w:tc>
        <w:tc>
          <w:tcPr>
            <w:tcW w:w="2961" w:type="dxa"/>
          </w:tcPr>
          <w:p>
            <w:pPr>
              <w:adjustRightInd w:val="0"/>
              <w:snapToGrid w:val="0"/>
              <w:spacing w:line="360" w:lineRule="auto"/>
              <w:rPr>
                <w:rFonts w:asciiTheme="minorEastAsia" w:hAnsiTheme="minorEastAsia" w:eastAsiaTheme="minorEastAsia"/>
                <w:kern w:val="0"/>
                <w:sz w:val="24"/>
              </w:rPr>
            </w:pPr>
          </w:p>
        </w:tc>
      </w:tr>
    </w:tbl>
    <w:p>
      <w:pPr>
        <w:widowControl/>
        <w:jc w:val="left"/>
        <w:rPr>
          <w:rFonts w:ascii="黑体" w:hAnsi="黑体" w:eastAsia="黑体"/>
          <w:bCs/>
          <w:szCs w:val="21"/>
        </w:rPr>
      </w:pPr>
      <w:r>
        <w:rPr>
          <w:rFonts w:ascii="黑体" w:hAnsi="黑体"/>
          <w:b/>
          <w:szCs w:val="21"/>
        </w:rPr>
        <w:br w:type="page"/>
      </w:r>
    </w:p>
    <w:p>
      <w:pPr>
        <w:pStyle w:val="5"/>
        <w:rPr>
          <w:sz w:val="21"/>
          <w:szCs w:val="21"/>
        </w:rPr>
      </w:pPr>
      <w:bookmarkStart w:id="101" w:name="_Toc20651229"/>
      <w:r>
        <w:rPr>
          <w:rFonts w:hint="eastAsia"/>
          <w:sz w:val="21"/>
          <w:szCs w:val="21"/>
        </w:rPr>
        <w:t>附表2 符合性审查合格投标人名单</w:t>
      </w:r>
      <w:bookmarkEnd w:id="101"/>
    </w:p>
    <w:p>
      <w:pPr>
        <w:adjustRightInd w:val="0"/>
        <w:snapToGri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符合性审查合格投标人名单</w:t>
      </w:r>
    </w:p>
    <w:p>
      <w:pPr>
        <w:adjustRightInd w:val="0"/>
        <w:snapToGrid w:val="0"/>
        <w:spacing w:before="156" w:beforeLines="50" w:line="360" w:lineRule="auto"/>
        <w:rPr>
          <w:rFonts w:ascii="华文中宋" w:hAnsi="华文中宋" w:eastAsia="华文中宋"/>
          <w:sz w:val="32"/>
          <w:szCs w:val="32"/>
        </w:rPr>
      </w:pPr>
      <w:r>
        <w:rPr>
          <w:rFonts w:hint="eastAsia" w:asciiTheme="minorEastAsia" w:hAnsiTheme="minorEastAsia" w:eastAsiaTheme="minorEastAsia"/>
          <w:szCs w:val="21"/>
        </w:rPr>
        <w:t>项目名称：                                        采购代理编号：</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pPr>
              <w:jc w:val="center"/>
              <w:rPr>
                <w:b/>
                <w:kern w:val="0"/>
                <w:szCs w:val="21"/>
              </w:rPr>
            </w:pPr>
            <w:r>
              <w:rPr>
                <w:rFonts w:hint="eastAsia"/>
                <w:b/>
                <w:kern w:val="0"/>
                <w:szCs w:val="21"/>
              </w:rPr>
              <w:t>序号</w:t>
            </w:r>
          </w:p>
        </w:tc>
        <w:tc>
          <w:tcPr>
            <w:tcW w:w="7796" w:type="dxa"/>
            <w:vAlign w:val="center"/>
          </w:tcPr>
          <w:p>
            <w:pPr>
              <w:jc w:val="center"/>
              <w:rPr>
                <w:b/>
                <w:kern w:val="0"/>
                <w:szCs w:val="21"/>
              </w:rPr>
            </w:pPr>
            <w:r>
              <w:rPr>
                <w:rFonts w:hint="eastAsia"/>
                <w:b/>
                <w:kern w:val="0"/>
                <w:szCs w:val="21"/>
              </w:rPr>
              <w:t>合格投标人名称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Cs w:val="21"/>
              </w:rPr>
            </w:pPr>
          </w:p>
        </w:tc>
        <w:tc>
          <w:tcPr>
            <w:tcW w:w="7796" w:type="dxa"/>
          </w:tcPr>
          <w:p>
            <w:pPr>
              <w:adjustRightInd w:val="0"/>
              <w:snapToGrid w:val="0"/>
              <w:spacing w:line="360" w:lineRule="auto"/>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pPr>
              <w:adjustRightInd w:val="0"/>
              <w:snapToGrid w:val="0"/>
              <w:spacing w:line="360" w:lineRule="auto"/>
              <w:rPr>
                <w:rFonts w:asciiTheme="minorEastAsia" w:hAnsiTheme="minorEastAsia" w:eastAsiaTheme="minorEastAsia"/>
                <w:kern w:val="0"/>
                <w:sz w:val="24"/>
              </w:rPr>
            </w:pPr>
          </w:p>
        </w:tc>
        <w:tc>
          <w:tcPr>
            <w:tcW w:w="7796" w:type="dxa"/>
          </w:tcPr>
          <w:p>
            <w:pPr>
              <w:adjustRightInd w:val="0"/>
              <w:snapToGrid w:val="0"/>
              <w:spacing w:line="360" w:lineRule="auto"/>
              <w:rPr>
                <w:rFonts w:asciiTheme="minorEastAsia" w:hAnsiTheme="minorEastAsia" w:eastAsiaTheme="minorEastAsia"/>
                <w:kern w:val="0"/>
                <w:sz w:val="24"/>
              </w:rPr>
            </w:pPr>
          </w:p>
        </w:tc>
      </w:tr>
    </w:tbl>
    <w:p>
      <w:pPr>
        <w:rPr>
          <w:w w:val="90"/>
        </w:rPr>
      </w:pPr>
    </w:p>
    <w:p>
      <w:pPr>
        <w:rPr>
          <w:rFonts w:ascii="黑体" w:hAnsi="黑体" w:eastAsia="黑体"/>
          <w:b/>
          <w:sz w:val="32"/>
          <w:szCs w:val="32"/>
        </w:rPr>
      </w:pPr>
    </w:p>
    <w:p>
      <w:pPr>
        <w:pStyle w:val="4"/>
        <w:adjustRightInd w:val="0"/>
        <w:snapToGrid w:val="0"/>
        <w:jc w:val="center"/>
        <w:rPr>
          <w:rFonts w:ascii="黑体" w:hAnsi="华文中宋" w:eastAsia="黑体"/>
          <w:sz w:val="28"/>
          <w:szCs w:val="28"/>
        </w:rPr>
      </w:pPr>
      <w:r>
        <w:rPr>
          <w:rFonts w:ascii="黑体" w:hAnsi="黑体" w:eastAsia="黑体"/>
          <w:b w:val="0"/>
          <w:sz w:val="32"/>
        </w:rPr>
        <w:br w:type="page"/>
      </w:r>
      <w:bookmarkStart w:id="102" w:name="_Toc20651230"/>
      <w:r>
        <w:rPr>
          <w:rFonts w:hint="eastAsia" w:ascii="黑体" w:hAnsi="华文中宋" w:eastAsia="黑体"/>
          <w:sz w:val="28"/>
          <w:szCs w:val="28"/>
        </w:rPr>
        <w:t>第四节 投标文件的比较与评价（综合评分法）</w:t>
      </w:r>
      <w:bookmarkEnd w:id="102"/>
    </w:p>
    <w:p>
      <w:pPr>
        <w:widowControl/>
        <w:adjustRightInd w:val="0"/>
        <w:snapToGrid w:val="0"/>
        <w:spacing w:before="156" w:beforeLines="50" w:line="360" w:lineRule="auto"/>
        <w:jc w:val="left"/>
        <w:rPr>
          <w:rFonts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1.</w:t>
      </w:r>
      <w:r>
        <w:rPr>
          <w:rFonts w:hint="eastAsia"/>
          <w:color w:val="000000" w:themeColor="text1"/>
          <w14:textFill>
            <w14:solidFill>
              <w14:schemeClr w14:val="tx1"/>
            </w14:solidFill>
          </w14:textFill>
        </w:rPr>
        <w:t xml:space="preserve"> </w:t>
      </w:r>
      <w:r>
        <w:rPr>
          <w:rFonts w:hint="eastAsia" w:ascii="黑体" w:hAnsi="黑体" w:eastAsia="黑体"/>
          <w:b/>
          <w:color w:val="000000" w:themeColor="text1"/>
          <w:sz w:val="24"/>
          <w14:textFill>
            <w14:solidFill>
              <w14:schemeClr w14:val="tx1"/>
            </w14:solidFill>
          </w14:textFill>
        </w:rPr>
        <w:t>综合评分法</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1.3未通过符合性审查的投标文件不得进入比较与评价。</w:t>
      </w:r>
    </w:p>
    <w:p>
      <w:pPr>
        <w:adjustRightInd w:val="0"/>
        <w:snapToGrid w:val="0"/>
        <w:spacing w:before="156" w:beforeLines="50" w:line="360" w:lineRule="auto"/>
        <w:jc w:val="left"/>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2.</w:t>
      </w:r>
      <w:r>
        <w:rPr>
          <w:rFonts w:hint="eastAsia"/>
          <w:color w:val="000000" w:themeColor="text1"/>
          <w14:textFill>
            <w14:solidFill>
              <w14:schemeClr w14:val="tx1"/>
            </w14:solidFill>
          </w14:textFill>
        </w:rPr>
        <w:t xml:space="preserve"> </w:t>
      </w:r>
      <w:r>
        <w:rPr>
          <w:rFonts w:hint="eastAsia" w:ascii="黑体" w:hAnsi="黑体" w:eastAsia="黑体"/>
          <w:b/>
          <w:bCs/>
          <w:color w:val="000000" w:themeColor="text1"/>
          <w:sz w:val="24"/>
          <w14:textFill>
            <w14:solidFill>
              <w14:schemeClr w14:val="tx1"/>
            </w14:solidFill>
          </w14:textFill>
        </w:rPr>
        <w:t>投标报价的算术修正及政府采购政策调整</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2.1如果有算术错误，投标报价将按本章第二节第4.2款、第4.3款规定进行算术修正。</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2.2需落实政府采购政策（价格评审优惠）的，按第二章“投标须知”及本章第二节第</w:t>
      </w:r>
      <w:r>
        <w:rPr>
          <w:rFonts w:asciiTheme="minorEastAsia" w:hAnsiTheme="minorEastAsia" w:eastAsiaTheme="minorEastAsia"/>
          <w:bCs/>
          <w:color w:val="000000" w:themeColor="text1"/>
          <w:szCs w:val="21"/>
          <w14:textFill>
            <w14:solidFill>
              <w14:schemeClr w14:val="tx1"/>
            </w14:solidFill>
          </w14:textFill>
        </w:rPr>
        <w:t>5.3</w:t>
      </w:r>
      <w:r>
        <w:rPr>
          <w:rFonts w:hint="eastAsia" w:asciiTheme="minorEastAsia" w:hAnsiTheme="minorEastAsia" w:eastAsiaTheme="minorEastAsia"/>
          <w:bCs/>
          <w:color w:val="000000" w:themeColor="text1"/>
          <w:szCs w:val="21"/>
          <w14:textFill>
            <w14:solidFill>
              <w14:schemeClr w14:val="tx1"/>
            </w14:solidFill>
          </w14:textFill>
        </w:rPr>
        <w:t>（1）项的相关规定进行价格调整。</w:t>
      </w:r>
    </w:p>
    <w:p>
      <w:pPr>
        <w:adjustRightInd w:val="0"/>
        <w:snapToGrid w:val="0"/>
        <w:spacing w:before="156" w:beforeLines="50" w:line="360" w:lineRule="auto"/>
        <w:ind w:firstLine="420" w:firstLineChars="200"/>
        <w:jc w:val="left"/>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2.3按本章本节第2.1款、第2.2款规定，以修正或调整后的价格确定投标人的投标报价和评标基准价，用于投标报价评价。</w:t>
      </w:r>
    </w:p>
    <w:p>
      <w:pPr>
        <w:adjustRightInd w:val="0"/>
        <w:snapToGrid w:val="0"/>
        <w:spacing w:before="156" w:beforeLines="50" w:line="360" w:lineRule="auto"/>
        <w:jc w:val="left"/>
        <w:rPr>
          <w:rFonts w:ascii="黑体" w:hAnsi="黑体" w:eastAsia="黑体"/>
          <w:b/>
          <w:bCs/>
          <w:sz w:val="24"/>
        </w:rPr>
      </w:pPr>
      <w:r>
        <w:rPr>
          <w:rFonts w:hint="eastAsia" w:ascii="黑体" w:hAnsi="黑体" w:eastAsia="黑体"/>
          <w:b/>
          <w:bCs/>
          <w:sz w:val="24"/>
        </w:rPr>
        <w:t>3.</w:t>
      </w:r>
      <w:r>
        <w:rPr>
          <w:rFonts w:hint="eastAsia"/>
        </w:rPr>
        <w:t xml:space="preserve"> </w:t>
      </w:r>
      <w:r>
        <w:rPr>
          <w:rFonts w:hint="eastAsia" w:ascii="黑体" w:hAnsi="黑体" w:eastAsia="黑体"/>
          <w:b/>
          <w:bCs/>
          <w:sz w:val="24"/>
        </w:rPr>
        <w:t>投标报价评价</w:t>
      </w:r>
    </w:p>
    <w:p>
      <w:pPr>
        <w:adjustRightInd w:val="0"/>
        <w:snapToGrid w:val="0"/>
        <w:spacing w:before="156" w:beforeLines="50" w:line="360" w:lineRule="auto"/>
        <w:ind w:firstLine="420" w:firstLineChars="200"/>
        <w:jc w:val="lef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3.1投标报价评价：</w:t>
      </w:r>
      <w:r>
        <w:rPr>
          <w:rFonts w:hint="eastAsia" w:asciiTheme="minorEastAsia" w:hAnsiTheme="minorEastAsia" w:eastAsiaTheme="minorEastAsia"/>
          <w:szCs w:val="21"/>
          <w:lang w:val="en-US" w:eastAsia="zh-CN"/>
        </w:rPr>
        <w:t>详见报价部分评分表</w:t>
      </w:r>
    </w:p>
    <w:p>
      <w:pPr>
        <w:adjustRightInd w:val="0"/>
        <w:snapToGrid w:val="0"/>
        <w:spacing w:before="156" w:beforeLines="50" w:line="360" w:lineRule="auto"/>
        <w:jc w:val="left"/>
        <w:rPr>
          <w:rFonts w:ascii="黑体" w:hAnsi="黑体" w:eastAsia="黑体"/>
          <w:sz w:val="24"/>
        </w:rPr>
      </w:pPr>
      <w:r>
        <w:rPr>
          <w:rFonts w:hint="eastAsia" w:ascii="黑体" w:hAnsi="黑体" w:eastAsia="黑体"/>
          <w:bCs/>
          <w:sz w:val="24"/>
        </w:rPr>
        <w:t>4.</w:t>
      </w:r>
      <w:r>
        <w:rPr>
          <w:rFonts w:hint="eastAsia" w:ascii="黑体" w:hAnsi="黑体" w:eastAsia="黑体"/>
          <w:sz w:val="24"/>
        </w:rPr>
        <w:t>技术、商务等评分项响应评价及政府采购政策加分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4.1技术、商务等评分项响应评分。按</w:t>
      </w:r>
      <w:r>
        <w:rPr>
          <w:rFonts w:hint="eastAsia" w:asciiTheme="minorEastAsia" w:hAnsiTheme="minorEastAsia" w:eastAsiaTheme="minorEastAsia"/>
          <w:bCs/>
          <w:color w:val="000000" w:themeColor="text1"/>
          <w:szCs w:val="21"/>
          <w14:textFill>
            <w14:solidFill>
              <w14:schemeClr w14:val="tx1"/>
            </w14:solidFill>
          </w14:textFill>
        </w:rPr>
        <w:t>本章</w:t>
      </w:r>
      <w:r>
        <w:rPr>
          <w:rFonts w:hint="eastAsia" w:asciiTheme="minorEastAsia" w:hAnsiTheme="minorEastAsia" w:eastAsiaTheme="minorEastAsia"/>
          <w:szCs w:val="21"/>
        </w:rPr>
        <w:t>本节附页1“评标方法及标准表”规定的评标因素和标准，对技术、商务等评分项计算得分。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pPr>
        <w:adjustRightInd w:val="0"/>
        <w:snapToGrid w:val="0"/>
        <w:spacing w:before="156" w:beforeLines="50" w:line="360" w:lineRule="auto"/>
        <w:jc w:val="left"/>
        <w:rPr>
          <w:rFonts w:ascii="黑体" w:hAnsi="黑体" w:eastAsia="黑体"/>
          <w:b/>
          <w:sz w:val="24"/>
        </w:rPr>
      </w:pPr>
      <w:r>
        <w:rPr>
          <w:rFonts w:hint="eastAsia" w:ascii="黑体" w:hAnsi="黑体" w:eastAsia="黑体"/>
          <w:b/>
          <w:sz w:val="24"/>
        </w:rPr>
        <w:t>5.评标总得分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5.1评标总得分为投标报价、技术、商务等评分项得分(含优先采购政策加分)之和。</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评标总得分＝A投标报价得分＋A技术项得分＋A商务项得分＋A优先采购加分</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5.2评分分值计算保留小数点后两位，小数点后第三位“四舍五入”。</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asciiTheme="minorEastAsia" w:hAnsiTheme="minorEastAsia" w:eastAsiaTheme="minorEastAsia"/>
          <w:szCs w:val="21"/>
        </w:rPr>
        <w:t>评标时，评标委员会成员应当独立对满足招标文件全部实质性要求投标人的</w:t>
      </w:r>
      <w:r>
        <w:rPr>
          <w:rFonts w:hint="eastAsia" w:asciiTheme="minorEastAsia" w:hAnsiTheme="minorEastAsia" w:eastAsiaTheme="minorEastAsia"/>
          <w:bCs/>
          <w:szCs w:val="21"/>
        </w:rPr>
        <w:t>投标文件</w:t>
      </w:r>
      <w:r>
        <w:rPr>
          <w:rFonts w:hint="eastAsia" w:asciiTheme="minorEastAsia" w:hAnsiTheme="minorEastAsia" w:eastAsiaTheme="minorEastAsia"/>
          <w:szCs w:val="21"/>
        </w:rPr>
        <w:t>进行评价、评分，然后汇总每个投标人每项评分因素的得分。每个投标人的最终得分为所有评标委员会成员评分的算术平均值。</w:t>
      </w:r>
    </w:p>
    <w:p>
      <w:pPr>
        <w:adjustRightInd w:val="0"/>
        <w:snapToGrid w:val="0"/>
        <w:spacing w:before="156" w:beforeLines="50" w:line="360" w:lineRule="auto"/>
        <w:jc w:val="left"/>
        <w:rPr>
          <w:rFonts w:ascii="黑体" w:hAnsi="黑体" w:eastAsia="黑体"/>
          <w:b/>
          <w:bCs/>
          <w:sz w:val="24"/>
        </w:rPr>
      </w:pPr>
      <w:r>
        <w:rPr>
          <w:rFonts w:hint="eastAsia" w:ascii="黑体" w:hAnsi="黑体" w:eastAsia="黑体"/>
          <w:b/>
          <w:bCs/>
          <w:sz w:val="24"/>
        </w:rPr>
        <w:t>6.中标候选人的推荐方法</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6.2得分且投标报价相同的并列，按本章第二节规定确定中标候选人。</w:t>
      </w:r>
    </w:p>
    <w:p>
      <w:pPr>
        <w:adjustRightInd w:val="0"/>
        <w:snapToGrid w:val="0"/>
        <w:spacing w:before="156" w:beforeLines="50" w:line="360" w:lineRule="auto"/>
        <w:ind w:firstLine="420" w:firstLineChars="200"/>
        <w:jc w:val="left"/>
        <w:rPr>
          <w:rFonts w:asciiTheme="minorEastAsia" w:hAnsiTheme="minorEastAsia" w:eastAsiaTheme="minorEastAsia"/>
          <w:bCs/>
          <w:szCs w:val="21"/>
        </w:rPr>
      </w:pPr>
    </w:p>
    <w:p>
      <w:pPr>
        <w:widowControl/>
        <w:jc w:val="left"/>
        <w:rPr>
          <w:rFonts w:asciiTheme="minorEastAsia" w:hAnsiTheme="minorEastAsia" w:eastAsiaTheme="minorEastAsia"/>
          <w:bCs/>
          <w:szCs w:val="21"/>
        </w:rPr>
      </w:pPr>
      <w:r>
        <w:rPr>
          <w:rFonts w:asciiTheme="minorEastAsia" w:hAnsiTheme="minorEastAsia" w:eastAsiaTheme="minorEastAsia"/>
          <w:bCs/>
          <w:szCs w:val="21"/>
        </w:rPr>
        <w:br w:type="page"/>
      </w:r>
    </w:p>
    <w:p>
      <w:pPr>
        <w:pStyle w:val="5"/>
        <w:adjustRightInd w:val="0"/>
        <w:snapToGrid w:val="0"/>
        <w:spacing w:before="156" w:beforeLines="50" w:after="0" w:line="360" w:lineRule="auto"/>
        <w:rPr>
          <w:rFonts w:hint="eastAsia"/>
          <w:sz w:val="21"/>
          <w:szCs w:val="21"/>
        </w:rPr>
      </w:pPr>
      <w:bookmarkStart w:id="103" w:name="_Toc20651231"/>
      <w:r>
        <w:rPr>
          <w:rFonts w:hint="eastAsia"/>
          <w:sz w:val="21"/>
          <w:szCs w:val="21"/>
        </w:rPr>
        <w:t>附页1 评标方法及标准表</w:t>
      </w:r>
      <w:bookmarkEnd w:id="103"/>
    </w:p>
    <w:p>
      <w:pPr>
        <w:pStyle w:val="5"/>
        <w:pageBreakBefore w:val="0"/>
        <w:widowControl w:val="0"/>
        <w:kinsoku/>
        <w:wordWrap/>
        <w:overflowPunct/>
        <w:topLinePunct w:val="0"/>
        <w:autoSpaceDE/>
        <w:autoSpaceDN/>
        <w:bidi w:val="0"/>
        <w:adjustRightInd w:val="0"/>
        <w:snapToGrid w:val="0"/>
        <w:spacing w:before="156" w:beforeLines="50" w:after="0" w:line="360" w:lineRule="exact"/>
        <w:ind w:firstLine="2530" w:firstLineChars="900"/>
        <w:textAlignment w:val="auto"/>
        <w:rPr>
          <w:rFonts w:hint="eastAsia" w:ascii="黑体" w:hAnsi="黑体" w:eastAsia="黑体"/>
          <w:b/>
          <w:sz w:val="28"/>
          <w:szCs w:val="28"/>
        </w:rPr>
      </w:pPr>
      <w:r>
        <w:rPr>
          <w:rFonts w:hint="eastAsia" w:ascii="黑体" w:hAnsi="黑体" w:eastAsia="黑体"/>
          <w:b/>
          <w:sz w:val="28"/>
          <w:szCs w:val="28"/>
        </w:rPr>
        <w:t>评标方法及标准表</w:t>
      </w:r>
    </w:p>
    <w:p>
      <w:pPr>
        <w:keepNext w:val="0"/>
        <w:keepLines w:val="0"/>
        <w:pageBreakBefore w:val="0"/>
        <w:widowControl w:val="0"/>
        <w:kinsoku/>
        <w:wordWrap/>
        <w:overflowPunct/>
        <w:topLinePunct w:val="0"/>
        <w:autoSpaceDE/>
        <w:autoSpaceDN/>
        <w:bidi w:val="0"/>
        <w:adjustRightInd/>
        <w:snapToGrid/>
        <w:spacing w:line="360" w:lineRule="exact"/>
        <w:ind w:firstLine="241" w:firstLineChars="100"/>
        <w:textAlignment w:val="auto"/>
        <w:rPr>
          <w:rFonts w:hint="eastAsia" w:ascii="仿宋" w:hAnsi="仿宋" w:eastAsia="仿宋"/>
          <w:b/>
          <w:color w:val="000000"/>
          <w:sz w:val="24"/>
        </w:rPr>
      </w:pPr>
      <w:r>
        <w:rPr>
          <w:rFonts w:hint="eastAsia" w:ascii="仿宋" w:hAnsi="仿宋" w:eastAsia="仿宋"/>
          <w:b/>
          <w:color w:val="000000"/>
          <w:sz w:val="24"/>
          <w:lang w:val="en-US" w:eastAsia="zh-CN"/>
        </w:rPr>
        <w:t>1</w:t>
      </w:r>
      <w:r>
        <w:rPr>
          <w:rFonts w:hint="eastAsia" w:ascii="仿宋" w:hAnsi="仿宋" w:eastAsia="仿宋"/>
          <w:b/>
          <w:color w:val="000000"/>
          <w:sz w:val="24"/>
        </w:rPr>
        <w:t>、权值范围</w:t>
      </w:r>
    </w:p>
    <w:tbl>
      <w:tblPr>
        <w:tblStyle w:val="42"/>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7"/>
        <w:gridCol w:w="2781"/>
        <w:gridCol w:w="1791"/>
        <w:gridCol w:w="2221"/>
        <w:gridCol w:w="15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7" w:type="dxa"/>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rPr>
              <w:t>序号</w:t>
            </w:r>
          </w:p>
        </w:tc>
        <w:tc>
          <w:tcPr>
            <w:tcW w:w="2781" w:type="dxa"/>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rPr>
              <w:t>评分部分</w:t>
            </w:r>
          </w:p>
        </w:tc>
        <w:tc>
          <w:tcPr>
            <w:tcW w:w="1791" w:type="dxa"/>
            <w:tcBorders>
              <w:top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rPr>
              <w:t>分值区间</w:t>
            </w:r>
          </w:p>
        </w:tc>
        <w:tc>
          <w:tcPr>
            <w:tcW w:w="2221" w:type="dxa"/>
            <w:tcBorders>
              <w:top w:val="single" w:color="auto" w:sz="12" w:space="0"/>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rPr>
              <w:t>综合得分换算系数</w:t>
            </w:r>
          </w:p>
        </w:tc>
        <w:tc>
          <w:tcPr>
            <w:tcW w:w="1568" w:type="dxa"/>
            <w:tcBorders>
              <w:top w:val="single" w:color="auto" w:sz="12" w:space="0"/>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rPr>
              <w:t>综合得分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10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1</w:t>
            </w:r>
          </w:p>
        </w:tc>
        <w:tc>
          <w:tcPr>
            <w:tcW w:w="27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商务评分</w:t>
            </w:r>
          </w:p>
        </w:tc>
        <w:tc>
          <w:tcPr>
            <w:tcW w:w="1791"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0—100分</w:t>
            </w:r>
          </w:p>
        </w:tc>
        <w:tc>
          <w:tcPr>
            <w:tcW w:w="2221"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0.6</w:t>
            </w:r>
            <w:r>
              <w:rPr>
                <w:rFonts w:hint="eastAsia" w:ascii="宋体" w:hAnsi="宋体" w:eastAsia="宋体" w:cs="宋体"/>
                <w:color w:val="000000"/>
                <w:szCs w:val="21"/>
                <w:highlight w:val="none"/>
                <w:lang w:val="en-US" w:eastAsia="zh-CN"/>
              </w:rPr>
              <w:t>0</w:t>
            </w:r>
          </w:p>
        </w:tc>
        <w:tc>
          <w:tcPr>
            <w:tcW w:w="156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0—60分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2</w:t>
            </w:r>
          </w:p>
        </w:tc>
        <w:tc>
          <w:tcPr>
            <w:tcW w:w="27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技术评分</w:t>
            </w:r>
          </w:p>
        </w:tc>
        <w:tc>
          <w:tcPr>
            <w:tcW w:w="1791"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0—100分</w:t>
            </w:r>
          </w:p>
        </w:tc>
        <w:tc>
          <w:tcPr>
            <w:tcW w:w="2221"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0.1</w:t>
            </w:r>
            <w:r>
              <w:rPr>
                <w:rFonts w:hint="eastAsia" w:ascii="宋体" w:hAnsi="宋体" w:eastAsia="宋体" w:cs="宋体"/>
                <w:color w:val="000000"/>
                <w:szCs w:val="21"/>
                <w:highlight w:val="none"/>
                <w:lang w:val="en-US" w:eastAsia="zh-CN"/>
              </w:rPr>
              <w:t>0</w:t>
            </w:r>
          </w:p>
        </w:tc>
        <w:tc>
          <w:tcPr>
            <w:tcW w:w="156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0—10分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10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3</w:t>
            </w:r>
          </w:p>
        </w:tc>
        <w:tc>
          <w:tcPr>
            <w:tcW w:w="27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投标报价（优惠率）总评分</w:t>
            </w:r>
          </w:p>
        </w:tc>
        <w:tc>
          <w:tcPr>
            <w:tcW w:w="1791"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0—100分</w:t>
            </w:r>
          </w:p>
        </w:tc>
        <w:tc>
          <w:tcPr>
            <w:tcW w:w="2221"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0.3</w:t>
            </w:r>
            <w:r>
              <w:rPr>
                <w:rFonts w:hint="eastAsia" w:ascii="宋体" w:hAnsi="宋体" w:eastAsia="宋体" w:cs="宋体"/>
                <w:color w:val="000000"/>
                <w:szCs w:val="21"/>
                <w:highlight w:val="none"/>
                <w:lang w:val="en-US" w:eastAsia="zh-CN"/>
              </w:rPr>
              <w:t>0</w:t>
            </w:r>
          </w:p>
        </w:tc>
        <w:tc>
          <w:tcPr>
            <w:tcW w:w="156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0—30分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3798" w:type="dxa"/>
            <w:gridSpan w:val="2"/>
            <w:tcBorders>
              <w:bottom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合计</w:t>
            </w:r>
          </w:p>
        </w:tc>
        <w:tc>
          <w:tcPr>
            <w:tcW w:w="1791" w:type="dxa"/>
            <w:tcBorders>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p>
        </w:tc>
        <w:tc>
          <w:tcPr>
            <w:tcW w:w="2221" w:type="dxa"/>
            <w:tcBorders>
              <w:left w:val="single" w:color="auto" w:sz="4" w:space="0"/>
              <w:bottom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p>
        </w:tc>
        <w:tc>
          <w:tcPr>
            <w:tcW w:w="1568" w:type="dxa"/>
            <w:tcBorders>
              <w:left w:val="single" w:color="auto" w:sz="4" w:space="0"/>
              <w:bottom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0—100分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textAlignment w:val="auto"/>
        <w:rPr>
          <w:rFonts w:hint="eastAsia" w:ascii="仿宋" w:hAnsi="仿宋" w:eastAsia="仿宋" w:cs="Times New Roman"/>
          <w:b/>
          <w:color w:val="000000"/>
          <w:sz w:val="24"/>
          <w:lang w:val="en-US" w:eastAsia="zh-CN"/>
        </w:rPr>
      </w:pPr>
      <w:r>
        <w:rPr>
          <w:rFonts w:hint="eastAsia" w:ascii="仿宋" w:hAnsi="仿宋" w:eastAsia="仿宋" w:cs="Times New Roman"/>
          <w:b/>
          <w:color w:val="000000"/>
          <w:sz w:val="24"/>
          <w:lang w:val="en-US" w:eastAsia="zh-CN"/>
        </w:rPr>
        <w:t>2、评分标准</w:t>
      </w:r>
    </w:p>
    <w:p>
      <w:pPr>
        <w:pStyle w:val="4"/>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仿宋" w:hAnsi="仿宋" w:eastAsia="仿宋" w:cs="Times New Roman"/>
          <w:b/>
          <w:bCs w:val="0"/>
          <w:color w:val="000000"/>
          <w:kern w:val="2"/>
          <w:sz w:val="24"/>
          <w:szCs w:val="24"/>
          <w:lang w:val="en-US" w:eastAsia="zh-CN" w:bidi="ar-SA"/>
        </w:rPr>
      </w:pPr>
      <w:r>
        <w:rPr>
          <w:rFonts w:hint="eastAsia" w:ascii="仿宋" w:hAnsi="仿宋" w:eastAsia="仿宋" w:cs="Times New Roman"/>
          <w:b/>
          <w:bCs w:val="0"/>
          <w:color w:val="000000"/>
          <w:kern w:val="2"/>
          <w:sz w:val="24"/>
          <w:szCs w:val="24"/>
          <w:lang w:val="en-US" w:eastAsia="zh-CN" w:bidi="ar-SA"/>
        </w:rPr>
        <w:t>（1）商务部分</w:t>
      </w:r>
    </w:p>
    <w:tbl>
      <w:tblPr>
        <w:tblStyle w:val="42"/>
        <w:tblW w:w="9830" w:type="dxa"/>
        <w:tblInd w:w="-47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6"/>
        <w:gridCol w:w="1169"/>
        <w:gridCol w:w="4476"/>
        <w:gridCol w:w="516"/>
        <w:gridCol w:w="719"/>
        <w:gridCol w:w="719"/>
        <w:gridCol w:w="11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1076" w:type="dxa"/>
            <w:vMerge w:val="restart"/>
            <w:tcBorders>
              <w:top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1169" w:type="dxa"/>
            <w:vMerge w:val="restart"/>
            <w:tcBorders>
              <w:top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项目</w:t>
            </w:r>
          </w:p>
        </w:tc>
        <w:tc>
          <w:tcPr>
            <w:tcW w:w="4476" w:type="dxa"/>
            <w:vMerge w:val="restart"/>
            <w:tcBorders>
              <w:top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评分标准</w:t>
            </w:r>
          </w:p>
        </w:tc>
        <w:tc>
          <w:tcPr>
            <w:tcW w:w="3109" w:type="dxa"/>
            <w:gridSpan w:val="4"/>
            <w:tcBorders>
              <w:top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 w:hRule="atLeast"/>
        </w:trPr>
        <w:tc>
          <w:tcPr>
            <w:tcW w:w="1076" w:type="dxa"/>
            <w:vMerge w:val="continue"/>
            <w:tcBorders>
              <w:top w:val="single" w:color="auto" w:sz="12" w:space="0"/>
            </w:tcBorders>
            <w:noWrap w:val="0"/>
            <w:vAlign w:val="center"/>
          </w:tcPr>
          <w:p>
            <w:pPr>
              <w:keepNext w:val="0"/>
              <w:keepLines w:val="0"/>
              <w:pageBreakBefore w:val="0"/>
              <w:widowControl/>
              <w:kinsoku/>
              <w:wordWrap/>
              <w:overflowPunct/>
              <w:topLinePunct w:val="0"/>
              <w:bidi w:val="0"/>
              <w:spacing w:line="240" w:lineRule="exact"/>
              <w:ind w:left="0" w:leftChars="0" w:right="0" w:rightChars="0"/>
              <w:jc w:val="left"/>
              <w:textAlignment w:val="auto"/>
              <w:rPr>
                <w:rFonts w:hint="eastAsia" w:ascii="宋体" w:hAnsi="宋体" w:eastAsia="宋体" w:cs="宋体"/>
                <w:b/>
                <w:bCs/>
                <w:color w:val="000000"/>
                <w:sz w:val="21"/>
                <w:szCs w:val="21"/>
              </w:rPr>
            </w:pPr>
          </w:p>
        </w:tc>
        <w:tc>
          <w:tcPr>
            <w:tcW w:w="1169" w:type="dxa"/>
            <w:vMerge w:val="continue"/>
            <w:noWrap w:val="0"/>
            <w:vAlign w:val="top"/>
          </w:tcPr>
          <w:p>
            <w:pPr>
              <w:keepNext w:val="0"/>
              <w:keepLines w:val="0"/>
              <w:pageBreakBefore w:val="0"/>
              <w:widowControl/>
              <w:kinsoku/>
              <w:wordWrap/>
              <w:overflowPunct/>
              <w:topLinePunct w:val="0"/>
              <w:bidi w:val="0"/>
              <w:spacing w:line="240" w:lineRule="exact"/>
              <w:ind w:left="0" w:leftChars="0" w:right="0" w:rightChars="0"/>
              <w:jc w:val="left"/>
              <w:textAlignment w:val="auto"/>
              <w:rPr>
                <w:rFonts w:hint="eastAsia" w:ascii="宋体" w:hAnsi="宋体" w:eastAsia="宋体" w:cs="宋体"/>
                <w:b/>
                <w:bCs/>
                <w:color w:val="000000"/>
                <w:sz w:val="21"/>
                <w:szCs w:val="21"/>
              </w:rPr>
            </w:pPr>
          </w:p>
        </w:tc>
        <w:tc>
          <w:tcPr>
            <w:tcW w:w="4476" w:type="dxa"/>
            <w:vMerge w:val="continue"/>
            <w:tcBorders>
              <w:top w:val="single" w:color="auto" w:sz="12" w:space="0"/>
            </w:tcBorders>
            <w:noWrap w:val="0"/>
            <w:vAlign w:val="center"/>
          </w:tcPr>
          <w:p>
            <w:pPr>
              <w:keepNext w:val="0"/>
              <w:keepLines w:val="0"/>
              <w:pageBreakBefore w:val="0"/>
              <w:widowControl/>
              <w:kinsoku/>
              <w:wordWrap/>
              <w:overflowPunct/>
              <w:topLinePunct w:val="0"/>
              <w:bidi w:val="0"/>
              <w:spacing w:line="240" w:lineRule="exact"/>
              <w:ind w:left="0" w:leftChars="0" w:right="0" w:rightChars="0"/>
              <w:jc w:val="left"/>
              <w:textAlignment w:val="auto"/>
              <w:rPr>
                <w:rFonts w:hint="eastAsia" w:ascii="宋体" w:hAnsi="宋体" w:eastAsia="宋体" w:cs="宋体"/>
                <w:b/>
                <w:bCs/>
                <w:color w:val="000000"/>
                <w:sz w:val="21"/>
                <w:szCs w:val="21"/>
              </w:rPr>
            </w:pPr>
          </w:p>
        </w:tc>
        <w:tc>
          <w:tcPr>
            <w:tcW w:w="516"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p>
        </w:tc>
        <w:tc>
          <w:tcPr>
            <w:tcW w:w="719"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p>
        </w:tc>
        <w:tc>
          <w:tcPr>
            <w:tcW w:w="719"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宋体" w:hAnsi="宋体" w:eastAsia="宋体" w:cs="宋体"/>
                <w:b/>
                <w:bCs/>
                <w:color w:val="000000"/>
                <w:sz w:val="21"/>
                <w:szCs w:val="21"/>
              </w:rPr>
            </w:pPr>
          </w:p>
        </w:tc>
        <w:tc>
          <w:tcPr>
            <w:tcW w:w="1155"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hint="eastAsia" w:ascii="仿宋" w:hAnsi="仿宋" w:eastAsia="仿宋" w:cs="仿宋"/>
                <w:b/>
                <w:bCs/>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32" w:hRule="atLeast"/>
        </w:trPr>
        <w:tc>
          <w:tcPr>
            <w:tcW w:w="10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1</w:t>
            </w:r>
          </w:p>
        </w:tc>
        <w:tc>
          <w:tcPr>
            <w:tcW w:w="1169"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类似业绩（</w:t>
            </w:r>
            <w:r>
              <w:rPr>
                <w:rFonts w:hint="eastAsia" w:cs="Times New Roman" w:asciiTheme="minorEastAsia" w:hAnsiTheme="minorEastAsia" w:eastAsiaTheme="minorEastAsia"/>
                <w:bCs/>
                <w:sz w:val="21"/>
                <w:szCs w:val="21"/>
                <w:lang w:val="en-US" w:eastAsia="zh-CN"/>
              </w:rPr>
              <w:t>10</w:t>
            </w:r>
            <w:r>
              <w:rPr>
                <w:rFonts w:hint="eastAsia" w:cs="Times New Roman" w:asciiTheme="minorEastAsia" w:hAnsiTheme="minorEastAsia" w:eastAsiaTheme="minorEastAsia"/>
                <w:bCs/>
                <w:sz w:val="21"/>
                <w:szCs w:val="21"/>
                <w:lang w:eastAsia="zh-CN"/>
              </w:rPr>
              <w:t>分</w:t>
            </w:r>
            <w:r>
              <w:rPr>
                <w:rFonts w:hint="eastAsia" w:cs="Times New Roman" w:asciiTheme="minorEastAsia" w:hAnsiTheme="minorEastAsia" w:eastAsiaTheme="minorEastAsia"/>
                <w:bCs/>
                <w:sz w:val="21"/>
                <w:szCs w:val="21"/>
              </w:rPr>
              <w:t>）</w:t>
            </w:r>
          </w:p>
        </w:tc>
        <w:tc>
          <w:tcPr>
            <w:tcW w:w="44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lang w:val="en-US" w:eastAsia="zh-CN"/>
              </w:rPr>
              <w:t>投标人自2020年1月1日以来具有类似食堂食材配送业绩，每提供一个计2分，本项最高得分计10分。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提供合同关键页扫描件（包括但不限于合同金额、服务内容、合同服务起止时间、签订日期等）</w:t>
            </w:r>
            <w:r>
              <w:rPr>
                <w:rFonts w:hint="eastAsia" w:cs="Times New Roman" w:asciiTheme="minorEastAsia" w:hAnsiTheme="minorEastAsia" w:eastAsiaTheme="minorEastAsia"/>
                <w:bCs/>
                <w:sz w:val="21"/>
                <w:szCs w:val="21"/>
                <w:lang w:eastAsia="zh-CN"/>
              </w:rPr>
              <w:t>，</w:t>
            </w:r>
            <w:r>
              <w:rPr>
                <w:rFonts w:hint="eastAsia" w:cs="Times New Roman" w:asciiTheme="minorEastAsia" w:hAnsiTheme="minorEastAsia" w:eastAsiaTheme="minorEastAsia"/>
                <w:bCs/>
                <w:sz w:val="21"/>
                <w:szCs w:val="21"/>
              </w:rPr>
              <w:t>中标通知书以及合同期内发票扫描件。</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lang w:eastAsia="zh-CN"/>
              </w:rPr>
            </w:pPr>
            <w:r>
              <w:rPr>
                <w:rFonts w:hint="eastAsia" w:cs="Times New Roman" w:asciiTheme="minorEastAsia" w:hAnsiTheme="minorEastAsia" w:eastAsiaTheme="minorEastAsia"/>
                <w:bCs/>
                <w:sz w:val="21"/>
                <w:szCs w:val="21"/>
                <w:lang w:eastAsia="zh-CN"/>
              </w:rPr>
              <w:t>所有证明材料需提供原件，未提供不计分。</w:t>
            </w:r>
          </w:p>
        </w:tc>
        <w:tc>
          <w:tcPr>
            <w:tcW w:w="516"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57" w:hRule="atLeast"/>
        </w:trPr>
        <w:tc>
          <w:tcPr>
            <w:tcW w:w="10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2</w:t>
            </w:r>
          </w:p>
        </w:tc>
        <w:tc>
          <w:tcPr>
            <w:tcW w:w="1169"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履约评价</w:t>
            </w:r>
          </w:p>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（5</w:t>
            </w:r>
            <w:r>
              <w:rPr>
                <w:rFonts w:hint="eastAsia" w:cs="Times New Roman" w:asciiTheme="minorEastAsia" w:hAnsiTheme="minorEastAsia" w:eastAsiaTheme="minorEastAsia"/>
                <w:bCs/>
                <w:sz w:val="21"/>
                <w:szCs w:val="21"/>
                <w:lang w:eastAsia="zh-CN"/>
              </w:rPr>
              <w:t>分</w:t>
            </w:r>
            <w:r>
              <w:rPr>
                <w:rFonts w:hint="eastAsia" w:cs="Times New Roman" w:asciiTheme="minorEastAsia" w:hAnsiTheme="minorEastAsia" w:eastAsiaTheme="minorEastAsia"/>
                <w:bCs/>
                <w:sz w:val="21"/>
                <w:szCs w:val="21"/>
              </w:rPr>
              <w:t>）</w:t>
            </w:r>
          </w:p>
        </w:tc>
        <w:tc>
          <w:tcPr>
            <w:tcW w:w="44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投标人提供</w:t>
            </w:r>
            <w:r>
              <w:rPr>
                <w:rFonts w:hint="eastAsia" w:cs="Times New Roman" w:asciiTheme="minorEastAsia" w:hAnsiTheme="minorEastAsia" w:eastAsiaTheme="minorEastAsia"/>
                <w:bCs/>
                <w:sz w:val="21"/>
                <w:szCs w:val="21"/>
                <w:lang w:val="en-US" w:eastAsia="zh-CN"/>
              </w:rPr>
              <w:t>2020年1月1日以来</w:t>
            </w:r>
            <w:r>
              <w:rPr>
                <w:rFonts w:hint="eastAsia" w:cs="Times New Roman" w:asciiTheme="minorEastAsia" w:hAnsiTheme="minorEastAsia" w:eastAsiaTheme="minorEastAsia"/>
                <w:bCs/>
                <w:sz w:val="21"/>
                <w:szCs w:val="21"/>
              </w:rPr>
              <w:t>获得用户单位好评的（优秀或满意），每提供1个</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rPr>
              <w:t>2.5分</w:t>
            </w:r>
            <w:r>
              <w:rPr>
                <w:rFonts w:hint="eastAsia" w:cs="Times New Roman" w:asciiTheme="minorEastAsia" w:hAnsiTheme="minorEastAsia" w:eastAsiaTheme="minorEastAsia"/>
                <w:bCs/>
                <w:sz w:val="21"/>
                <w:szCs w:val="21"/>
                <w:lang w:eastAsia="zh-CN"/>
              </w:rPr>
              <w:t>，本项</w:t>
            </w:r>
            <w:r>
              <w:rPr>
                <w:rFonts w:hint="eastAsia" w:cs="Times New Roman" w:asciiTheme="minorEastAsia" w:hAnsiTheme="minorEastAsia" w:eastAsiaTheme="minorEastAsia"/>
                <w:bCs/>
                <w:sz w:val="21"/>
                <w:szCs w:val="21"/>
              </w:rPr>
              <w:t>最高</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rPr>
              <w:t>5分。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提供用户评价函扫描件或复印件，评价为不合格，不满意的，不得分。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lang w:eastAsia="zh-CN"/>
              </w:rPr>
              <w:t>所有证明材料需提供原件，未提供不计分。</w:t>
            </w:r>
          </w:p>
        </w:tc>
        <w:tc>
          <w:tcPr>
            <w:tcW w:w="516"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1" w:hRule="atLeast"/>
        </w:trPr>
        <w:tc>
          <w:tcPr>
            <w:tcW w:w="10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3</w:t>
            </w:r>
          </w:p>
        </w:tc>
        <w:tc>
          <w:tcPr>
            <w:tcW w:w="1169"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center"/>
              <w:textAlignment w:val="auto"/>
              <w:rPr>
                <w:rFonts w:hint="eastAsia" w:cs="Times New Roman" w:asciiTheme="minorEastAsia" w:hAnsiTheme="minorEastAsia" w:eastAsiaTheme="minorEastAsia"/>
                <w:bCs/>
                <w:sz w:val="21"/>
                <w:szCs w:val="21"/>
                <w:lang w:val="en-US" w:eastAsia="zh-CN"/>
              </w:rPr>
            </w:pPr>
            <w:r>
              <w:rPr>
                <w:rFonts w:hint="eastAsia" w:cs="Times New Roman" w:asciiTheme="minorEastAsia" w:hAnsiTheme="minorEastAsia" w:eastAsiaTheme="minorEastAsia"/>
                <w:bCs/>
                <w:sz w:val="21"/>
                <w:szCs w:val="21"/>
                <w:lang w:val="en-US" w:eastAsia="zh-CN"/>
              </w:rPr>
              <w:t>设备、人员要求</w:t>
            </w:r>
          </w:p>
          <w:p>
            <w:pPr>
              <w:keepNext w:val="0"/>
              <w:keepLines w:val="0"/>
              <w:pageBreakBefore w:val="0"/>
              <w:kinsoku/>
              <w:wordWrap/>
              <w:overflowPunct/>
              <w:topLinePunct w:val="0"/>
              <w:bidi w:val="0"/>
              <w:adjustRightInd w:val="0"/>
              <w:snapToGrid w:val="0"/>
              <w:spacing w:line="240" w:lineRule="exact"/>
              <w:ind w:left="0" w:leftChars="0" w:right="0" w:rightChars="0"/>
              <w:jc w:val="center"/>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w:t>
            </w:r>
            <w:r>
              <w:rPr>
                <w:rFonts w:hint="eastAsia" w:cs="Times New Roman" w:asciiTheme="minorEastAsia" w:hAnsiTheme="minorEastAsia" w:eastAsiaTheme="minorEastAsia"/>
                <w:bCs/>
                <w:sz w:val="21"/>
                <w:szCs w:val="21"/>
                <w:lang w:val="en-US" w:eastAsia="zh-CN"/>
              </w:rPr>
              <w:t>10</w:t>
            </w:r>
            <w:r>
              <w:rPr>
                <w:rFonts w:hint="eastAsia" w:cs="Times New Roman" w:asciiTheme="minorEastAsia" w:hAnsiTheme="minorEastAsia" w:eastAsiaTheme="minorEastAsia"/>
                <w:bCs/>
                <w:sz w:val="21"/>
                <w:szCs w:val="21"/>
              </w:rPr>
              <w:t>分）</w:t>
            </w:r>
          </w:p>
        </w:tc>
        <w:tc>
          <w:tcPr>
            <w:tcW w:w="44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lang w:val="en-US" w:eastAsia="zh-CN"/>
              </w:rPr>
            </w:pPr>
            <w:r>
              <w:rPr>
                <w:rFonts w:hint="eastAsia"/>
                <w:sz w:val="21"/>
                <w:szCs w:val="21"/>
                <w:lang w:val="en-US" w:eastAsia="zh-CN"/>
              </w:rPr>
              <w:t>1、投标企业具有食品检测设备的得5分（提供设备购买发票）</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lang w:val="en-US" w:eastAsia="zh-CN"/>
              </w:rPr>
            </w:pPr>
            <w:r>
              <w:rPr>
                <w:rFonts w:hint="eastAsia"/>
                <w:sz w:val="21"/>
                <w:szCs w:val="21"/>
                <w:lang w:val="en-US" w:eastAsia="zh-CN"/>
              </w:rPr>
              <w:t>2、企业配备农产品食品检验员的得5分，须提供相关证明文件。（需提供最近三个月社保机构开具的社保证明）</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所有证明材料需提供原件，未提供不计分。</w:t>
            </w:r>
          </w:p>
        </w:tc>
        <w:tc>
          <w:tcPr>
            <w:tcW w:w="516"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53" w:hRule="atLeast"/>
        </w:trPr>
        <w:tc>
          <w:tcPr>
            <w:tcW w:w="10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4</w:t>
            </w:r>
          </w:p>
        </w:tc>
        <w:tc>
          <w:tcPr>
            <w:tcW w:w="1169"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center"/>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服务便捷性</w:t>
            </w:r>
          </w:p>
          <w:p>
            <w:pPr>
              <w:keepNext w:val="0"/>
              <w:keepLines w:val="0"/>
              <w:pageBreakBefore w:val="0"/>
              <w:kinsoku/>
              <w:wordWrap/>
              <w:overflowPunct/>
              <w:topLinePunct w:val="0"/>
              <w:bidi w:val="0"/>
              <w:adjustRightInd w:val="0"/>
              <w:snapToGrid w:val="0"/>
              <w:spacing w:line="240" w:lineRule="exact"/>
              <w:ind w:left="0" w:leftChars="0" w:right="0" w:rightChars="0"/>
              <w:jc w:val="center"/>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（10</w:t>
            </w:r>
            <w:r>
              <w:rPr>
                <w:rFonts w:hint="eastAsia" w:cs="Times New Roman" w:asciiTheme="minorEastAsia" w:hAnsiTheme="minorEastAsia" w:eastAsiaTheme="minorEastAsia"/>
                <w:bCs/>
                <w:sz w:val="21"/>
                <w:szCs w:val="21"/>
                <w:lang w:eastAsia="zh-CN"/>
              </w:rPr>
              <w:t>分</w:t>
            </w:r>
            <w:r>
              <w:rPr>
                <w:rFonts w:hint="eastAsia" w:cs="Times New Roman" w:asciiTheme="minorEastAsia" w:hAnsiTheme="minorEastAsia" w:eastAsiaTheme="minorEastAsia"/>
                <w:bCs/>
                <w:sz w:val="21"/>
                <w:szCs w:val="21"/>
              </w:rPr>
              <w:t>）</w:t>
            </w:r>
          </w:p>
        </w:tc>
        <w:tc>
          <w:tcPr>
            <w:tcW w:w="44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rPr>
              <w:t>投标人自行开发或购买信息化管理系统。系统每具备并能顺畅运行功能：食材溯源（2分）、订货下单及监督（4分）、财务管理（1分）、价格管理（2分）、生产及检验管理（1分），</w:t>
            </w:r>
            <w:r>
              <w:rPr>
                <w:rFonts w:hint="eastAsia"/>
                <w:sz w:val="21"/>
                <w:szCs w:val="21"/>
                <w:lang w:eastAsia="zh-CN"/>
              </w:rPr>
              <w:t>本项</w:t>
            </w:r>
            <w:r>
              <w:rPr>
                <w:rFonts w:hint="eastAsia"/>
                <w:sz w:val="21"/>
                <w:szCs w:val="21"/>
              </w:rPr>
              <w:t>最高得10分</w:t>
            </w:r>
            <w:r>
              <w:rPr>
                <w:rFonts w:hint="eastAsia"/>
                <w:sz w:val="21"/>
                <w:szCs w:val="21"/>
                <w:lang w:eastAsia="zh-CN"/>
              </w:rPr>
              <w:t>。</w:t>
            </w:r>
            <w:r>
              <w:rPr>
                <w:rFonts w:hint="eastAsia"/>
                <w:sz w:val="21"/>
                <w:szCs w:val="21"/>
              </w:rPr>
              <w:t>（提供自行开发计算机软件著作权证明或购买软件的发票、系统功能截图）</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所有证明材料需提供原件，未提供不计分。</w:t>
            </w:r>
          </w:p>
        </w:tc>
        <w:tc>
          <w:tcPr>
            <w:tcW w:w="516"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70" w:hRule="atLeast"/>
        </w:trPr>
        <w:tc>
          <w:tcPr>
            <w:tcW w:w="10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5</w:t>
            </w:r>
          </w:p>
        </w:tc>
        <w:tc>
          <w:tcPr>
            <w:tcW w:w="1169"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配送保障能力</w:t>
            </w:r>
          </w:p>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（10</w:t>
            </w:r>
            <w:r>
              <w:rPr>
                <w:rFonts w:hint="eastAsia" w:cs="Times New Roman" w:asciiTheme="minorEastAsia" w:hAnsiTheme="minorEastAsia" w:eastAsiaTheme="minorEastAsia"/>
                <w:bCs/>
                <w:sz w:val="21"/>
                <w:szCs w:val="21"/>
                <w:lang w:eastAsia="zh-CN"/>
              </w:rPr>
              <w:t>分</w:t>
            </w:r>
            <w:r>
              <w:rPr>
                <w:rFonts w:hint="eastAsia" w:cs="Times New Roman" w:asciiTheme="minorEastAsia" w:hAnsiTheme="minorEastAsia" w:eastAsiaTheme="minorEastAsia"/>
                <w:bCs/>
                <w:sz w:val="21"/>
                <w:szCs w:val="21"/>
              </w:rPr>
              <w:t xml:space="preserve">） </w:t>
            </w:r>
          </w:p>
        </w:tc>
        <w:tc>
          <w:tcPr>
            <w:tcW w:w="44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投标人</w:t>
            </w:r>
            <w:r>
              <w:rPr>
                <w:rFonts w:hint="eastAsia" w:cs="Times New Roman" w:asciiTheme="minorEastAsia" w:hAnsiTheme="minorEastAsia" w:eastAsiaTheme="minorEastAsia"/>
                <w:bCs/>
                <w:sz w:val="21"/>
                <w:szCs w:val="21"/>
                <w:lang w:eastAsia="zh-CN"/>
              </w:rPr>
              <w:t>提供</w:t>
            </w:r>
            <w:r>
              <w:rPr>
                <w:rFonts w:hint="eastAsia" w:cs="Times New Roman" w:asciiTheme="minorEastAsia" w:hAnsiTheme="minorEastAsia" w:eastAsiaTheme="minorEastAsia"/>
                <w:bCs/>
                <w:sz w:val="21"/>
                <w:szCs w:val="21"/>
              </w:rPr>
              <w:t>冷藏配送车辆2辆</w:t>
            </w:r>
            <w:r>
              <w:rPr>
                <w:rFonts w:hint="eastAsia" w:cs="Times New Roman" w:asciiTheme="minorEastAsia" w:hAnsiTheme="minorEastAsia" w:eastAsiaTheme="minorEastAsia"/>
                <w:bCs/>
                <w:sz w:val="21"/>
                <w:szCs w:val="21"/>
                <w:lang w:eastAsia="zh-CN"/>
              </w:rPr>
              <w:t>的计</w:t>
            </w:r>
            <w:r>
              <w:rPr>
                <w:rFonts w:hint="eastAsia" w:cs="Times New Roman" w:asciiTheme="minorEastAsia" w:hAnsiTheme="minorEastAsia" w:eastAsiaTheme="minorEastAsia"/>
                <w:bCs/>
                <w:sz w:val="21"/>
                <w:szCs w:val="21"/>
              </w:rPr>
              <w:t>4分，增加1台加</w:t>
            </w:r>
            <w:r>
              <w:rPr>
                <w:rFonts w:hint="eastAsia" w:cs="Times New Roman" w:asciiTheme="minorEastAsia" w:hAnsiTheme="minorEastAsia" w:eastAsiaTheme="minorEastAsia"/>
                <w:bCs/>
                <w:sz w:val="21"/>
                <w:szCs w:val="21"/>
                <w:lang w:val="en-US" w:eastAsia="zh-CN"/>
              </w:rPr>
              <w:t>2</w:t>
            </w:r>
            <w:r>
              <w:rPr>
                <w:rFonts w:hint="eastAsia" w:cs="Times New Roman" w:asciiTheme="minorEastAsia" w:hAnsiTheme="minorEastAsia" w:eastAsiaTheme="minorEastAsia"/>
                <w:bCs/>
                <w:sz w:val="21"/>
                <w:szCs w:val="21"/>
              </w:rPr>
              <w:t>分，</w:t>
            </w:r>
            <w:r>
              <w:rPr>
                <w:rFonts w:hint="eastAsia" w:cs="Times New Roman" w:asciiTheme="minorEastAsia" w:hAnsiTheme="minorEastAsia" w:eastAsiaTheme="minorEastAsia"/>
                <w:bCs/>
                <w:sz w:val="21"/>
                <w:szCs w:val="21"/>
                <w:lang w:eastAsia="zh-CN"/>
              </w:rPr>
              <w:t>本项</w:t>
            </w:r>
            <w:r>
              <w:rPr>
                <w:rFonts w:hint="eastAsia" w:cs="Times New Roman" w:asciiTheme="minorEastAsia" w:hAnsiTheme="minorEastAsia" w:eastAsiaTheme="minorEastAsia"/>
                <w:bCs/>
                <w:sz w:val="21"/>
                <w:szCs w:val="21"/>
              </w:rPr>
              <w:t>最高</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rPr>
              <w:t>10分。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color w:val="FF0000"/>
                <w:sz w:val="21"/>
                <w:szCs w:val="21"/>
              </w:rPr>
            </w:pPr>
            <w:r>
              <w:rPr>
                <w:rFonts w:hint="eastAsia" w:cs="Times New Roman" w:asciiTheme="minorEastAsia" w:hAnsiTheme="minorEastAsia" w:eastAsiaTheme="minorEastAsia"/>
                <w:bCs/>
                <w:sz w:val="21"/>
                <w:szCs w:val="21"/>
                <w:lang w:val="en-US" w:eastAsia="zh-CN"/>
              </w:rPr>
              <w:t>如车辆为自有的，需</w:t>
            </w:r>
            <w:r>
              <w:rPr>
                <w:rFonts w:hint="eastAsia" w:cs="Times New Roman" w:asciiTheme="minorEastAsia" w:hAnsiTheme="minorEastAsia" w:eastAsiaTheme="minorEastAsia"/>
                <w:bCs/>
                <w:sz w:val="21"/>
                <w:szCs w:val="21"/>
              </w:rPr>
              <w:t>提供车辆行驶证、发票（写明车辆类型为冷藏车）及车头</w:t>
            </w:r>
            <w:r>
              <w:rPr>
                <w:rFonts w:hint="eastAsia" w:cs="Times New Roman" w:asciiTheme="minorEastAsia" w:hAnsiTheme="minorEastAsia" w:eastAsiaTheme="minorEastAsia"/>
                <w:bCs/>
                <w:sz w:val="21"/>
                <w:szCs w:val="21"/>
                <w:lang w:eastAsia="zh-CN"/>
              </w:rPr>
              <w:t>及车厢</w:t>
            </w:r>
            <w:r>
              <w:rPr>
                <w:rFonts w:hint="eastAsia" w:cs="Times New Roman" w:asciiTheme="minorEastAsia" w:hAnsiTheme="minorEastAsia" w:eastAsiaTheme="minorEastAsia"/>
                <w:bCs/>
                <w:sz w:val="21"/>
                <w:szCs w:val="21"/>
              </w:rPr>
              <w:t>完整图片（含车牌号码），车辆所有权人必须为投标单位。</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default" w:cs="Times New Roman" w:asciiTheme="minorEastAsia" w:hAnsiTheme="minorEastAsia" w:eastAsiaTheme="minorEastAsia"/>
                <w:bCs/>
                <w:sz w:val="21"/>
                <w:szCs w:val="21"/>
                <w:lang w:val="en-US" w:eastAsia="zh-CN"/>
              </w:rPr>
            </w:pPr>
            <w:r>
              <w:rPr>
                <w:rFonts w:hint="eastAsia"/>
                <w:sz w:val="21"/>
                <w:szCs w:val="21"/>
                <w:lang w:val="en-US" w:eastAsia="zh-CN"/>
              </w:rPr>
              <w:t>所有证明材料需提供原件，未提供不计分。</w:t>
            </w:r>
          </w:p>
        </w:tc>
        <w:tc>
          <w:tcPr>
            <w:tcW w:w="516"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95" w:hRule="atLeast"/>
        </w:trPr>
        <w:tc>
          <w:tcPr>
            <w:tcW w:w="10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6</w:t>
            </w:r>
          </w:p>
        </w:tc>
        <w:tc>
          <w:tcPr>
            <w:tcW w:w="1169"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firstLine="210" w:firstLineChars="1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管理体系认证</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（1</w:t>
            </w:r>
            <w:r>
              <w:rPr>
                <w:rFonts w:hint="eastAsia" w:cs="Times New Roman" w:asciiTheme="minorEastAsia" w:hAnsiTheme="minorEastAsia" w:eastAsiaTheme="minorEastAsia"/>
                <w:bCs/>
                <w:sz w:val="21"/>
                <w:szCs w:val="21"/>
                <w:lang w:val="en-US" w:eastAsia="zh-CN"/>
              </w:rPr>
              <w:t>5分</w:t>
            </w:r>
            <w:r>
              <w:rPr>
                <w:rFonts w:hint="eastAsia" w:cs="Times New Roman" w:asciiTheme="minorEastAsia" w:hAnsiTheme="minorEastAsia" w:eastAsiaTheme="minorEastAsia"/>
                <w:bCs/>
                <w:sz w:val="21"/>
                <w:szCs w:val="21"/>
              </w:rPr>
              <w:t>）</w:t>
            </w:r>
          </w:p>
        </w:tc>
        <w:tc>
          <w:tcPr>
            <w:tcW w:w="4476" w:type="dxa"/>
            <w:tcBorders>
              <w:bottom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1.</w:t>
            </w:r>
            <w:r>
              <w:rPr>
                <w:rFonts w:hint="eastAsia"/>
                <w:sz w:val="21"/>
                <w:szCs w:val="21"/>
              </w:rPr>
              <w:t>具有环境管理体系认证证书的</w:t>
            </w:r>
            <w:r>
              <w:rPr>
                <w:rFonts w:hint="eastAsia"/>
                <w:sz w:val="21"/>
                <w:szCs w:val="21"/>
                <w:lang w:eastAsia="zh-CN"/>
              </w:rPr>
              <w:t>计</w:t>
            </w:r>
            <w:r>
              <w:rPr>
                <w:rFonts w:hint="eastAsia"/>
                <w:sz w:val="21"/>
                <w:szCs w:val="21"/>
                <w:lang w:val="en-US" w:eastAsia="zh-CN"/>
              </w:rPr>
              <w:t>2</w:t>
            </w:r>
            <w:r>
              <w:rPr>
                <w:rFonts w:hint="eastAsia"/>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2.</w:t>
            </w:r>
            <w:r>
              <w:rPr>
                <w:rFonts w:hint="eastAsia"/>
                <w:sz w:val="21"/>
                <w:szCs w:val="21"/>
              </w:rPr>
              <w:t>具有质量管理体系认证证书的</w:t>
            </w:r>
            <w:r>
              <w:rPr>
                <w:rFonts w:hint="eastAsia"/>
                <w:sz w:val="21"/>
                <w:szCs w:val="21"/>
                <w:lang w:eastAsia="zh-CN"/>
              </w:rPr>
              <w:t>计</w:t>
            </w:r>
            <w:r>
              <w:rPr>
                <w:rFonts w:hint="eastAsia"/>
                <w:sz w:val="21"/>
                <w:szCs w:val="21"/>
                <w:lang w:val="en-US" w:eastAsia="zh-CN"/>
              </w:rPr>
              <w:t>2</w:t>
            </w:r>
            <w:r>
              <w:rPr>
                <w:rFonts w:hint="eastAsia"/>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3.</w:t>
            </w:r>
            <w:r>
              <w:rPr>
                <w:rFonts w:hint="eastAsia"/>
                <w:sz w:val="21"/>
                <w:szCs w:val="21"/>
              </w:rPr>
              <w:t>具有职业健康安全体系认证证书的</w:t>
            </w:r>
            <w:r>
              <w:rPr>
                <w:rFonts w:hint="eastAsia"/>
                <w:sz w:val="21"/>
                <w:szCs w:val="21"/>
                <w:lang w:eastAsia="zh-CN"/>
              </w:rPr>
              <w:t>计</w:t>
            </w:r>
            <w:r>
              <w:rPr>
                <w:rFonts w:hint="eastAsia"/>
                <w:sz w:val="21"/>
                <w:szCs w:val="21"/>
                <w:lang w:val="en-US" w:eastAsia="zh-CN"/>
              </w:rPr>
              <w:t>2</w:t>
            </w:r>
            <w:r>
              <w:rPr>
                <w:rFonts w:hint="eastAsia"/>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4.</w:t>
            </w:r>
            <w:r>
              <w:rPr>
                <w:rFonts w:hint="eastAsia"/>
                <w:sz w:val="21"/>
                <w:szCs w:val="21"/>
              </w:rPr>
              <w:t>具有食品安全管理体系认证证书的</w:t>
            </w:r>
            <w:r>
              <w:rPr>
                <w:rFonts w:hint="eastAsia"/>
                <w:sz w:val="21"/>
                <w:szCs w:val="21"/>
                <w:lang w:eastAsia="zh-CN"/>
              </w:rPr>
              <w:t>计</w:t>
            </w:r>
            <w:r>
              <w:rPr>
                <w:rFonts w:hint="eastAsia"/>
                <w:sz w:val="21"/>
                <w:szCs w:val="21"/>
                <w:lang w:val="en-US" w:eastAsia="zh-CN"/>
              </w:rPr>
              <w:t>4.5</w:t>
            </w:r>
            <w:r>
              <w:rPr>
                <w:rFonts w:hint="eastAsia"/>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5.</w:t>
            </w:r>
            <w:r>
              <w:rPr>
                <w:rFonts w:hint="eastAsia"/>
                <w:sz w:val="21"/>
                <w:szCs w:val="21"/>
              </w:rPr>
              <w:t>具有HACCP体系认证证书的</w:t>
            </w:r>
            <w:r>
              <w:rPr>
                <w:rFonts w:hint="eastAsia"/>
                <w:sz w:val="21"/>
                <w:szCs w:val="21"/>
                <w:lang w:eastAsia="zh-CN"/>
              </w:rPr>
              <w:t>计</w:t>
            </w:r>
            <w:r>
              <w:rPr>
                <w:rFonts w:hint="eastAsia"/>
                <w:sz w:val="21"/>
                <w:szCs w:val="21"/>
                <w:lang w:val="en-US" w:eastAsia="zh-CN"/>
              </w:rPr>
              <w:t>4.5</w:t>
            </w:r>
            <w:r>
              <w:rPr>
                <w:rFonts w:hint="eastAsia"/>
                <w:sz w:val="21"/>
                <w:szCs w:val="21"/>
              </w:rPr>
              <w:t>分</w:t>
            </w:r>
            <w:r>
              <w:rPr>
                <w:rFonts w:hint="eastAsia"/>
                <w:sz w:val="21"/>
                <w:szCs w:val="21"/>
                <w:lang w:eastAsia="zh-CN"/>
              </w:rPr>
              <w:t>。</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rPr>
              <w:t>提供有效的认证证书及确认有效的网页截图并加盖公章，证书中应能体现发证机关已获</w:t>
            </w:r>
            <w:r>
              <w:rPr>
                <w:rFonts w:hint="eastAsia"/>
                <w:sz w:val="21"/>
                <w:szCs w:val="21"/>
                <w:lang w:val="en-US" w:eastAsia="zh-CN"/>
              </w:rPr>
              <w:t>国家市场监督管理局</w:t>
            </w:r>
            <w:r>
              <w:rPr>
                <w:rFonts w:hint="eastAsia"/>
                <w:sz w:val="21"/>
                <w:szCs w:val="21"/>
              </w:rPr>
              <w:t>认证或能体现该证书可在</w:t>
            </w:r>
            <w:r>
              <w:rPr>
                <w:rFonts w:hint="eastAsia"/>
                <w:sz w:val="21"/>
                <w:szCs w:val="21"/>
                <w:lang w:val="en-US" w:eastAsia="zh-CN"/>
              </w:rPr>
              <w:t>国家市场监督管理局</w:t>
            </w:r>
            <w:r>
              <w:rPr>
                <w:rFonts w:hint="eastAsia"/>
                <w:sz w:val="21"/>
                <w:szCs w:val="21"/>
              </w:rPr>
              <w:t>网站查询。</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所有证明材料需提供原件，未提供不计分。</w:t>
            </w:r>
          </w:p>
        </w:tc>
        <w:tc>
          <w:tcPr>
            <w:tcW w:w="516"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bottom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24" w:hRule="atLeast"/>
        </w:trPr>
        <w:tc>
          <w:tcPr>
            <w:tcW w:w="10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7</w:t>
            </w:r>
          </w:p>
        </w:tc>
        <w:tc>
          <w:tcPr>
            <w:tcW w:w="1169"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lang w:eastAsia="zh-CN"/>
              </w:rPr>
            </w:pPr>
            <w:r>
              <w:rPr>
                <w:rFonts w:hint="eastAsia" w:cs="Times New Roman" w:asciiTheme="minorEastAsia" w:hAnsiTheme="minorEastAsia" w:eastAsiaTheme="minorEastAsia"/>
                <w:bCs/>
                <w:sz w:val="21"/>
                <w:szCs w:val="21"/>
                <w:lang w:eastAsia="zh-CN"/>
              </w:rPr>
              <w:t>企业场地及投保</w:t>
            </w:r>
          </w:p>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（2</w:t>
            </w:r>
            <w:r>
              <w:rPr>
                <w:rFonts w:hint="eastAsia" w:cs="Times New Roman" w:asciiTheme="minorEastAsia" w:hAnsiTheme="minorEastAsia" w:eastAsiaTheme="minorEastAsia"/>
                <w:bCs/>
                <w:sz w:val="21"/>
                <w:szCs w:val="21"/>
                <w:lang w:val="en-US" w:eastAsia="zh-CN"/>
              </w:rPr>
              <w:t>0</w:t>
            </w:r>
            <w:r>
              <w:rPr>
                <w:rFonts w:hint="eastAsia" w:cs="Times New Roman" w:asciiTheme="minorEastAsia" w:hAnsiTheme="minorEastAsia" w:eastAsiaTheme="minorEastAsia"/>
                <w:bCs/>
                <w:sz w:val="21"/>
                <w:szCs w:val="21"/>
              </w:rPr>
              <w:t>分）</w:t>
            </w:r>
          </w:p>
        </w:tc>
        <w:tc>
          <w:tcPr>
            <w:tcW w:w="44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1.</w:t>
            </w:r>
            <w:r>
              <w:rPr>
                <w:rFonts w:hint="eastAsia"/>
                <w:sz w:val="21"/>
                <w:szCs w:val="21"/>
              </w:rPr>
              <w:t>投标人</w:t>
            </w:r>
            <w:r>
              <w:rPr>
                <w:rFonts w:hint="eastAsia"/>
                <w:sz w:val="21"/>
                <w:szCs w:val="21"/>
                <w:lang w:eastAsia="zh-CN"/>
              </w:rPr>
              <w:t>在</w:t>
            </w:r>
            <w:r>
              <w:rPr>
                <w:rFonts w:hint="eastAsia"/>
                <w:sz w:val="21"/>
                <w:szCs w:val="21"/>
              </w:rPr>
              <w:t>永州市范围</w:t>
            </w:r>
            <w:r>
              <w:rPr>
                <w:rFonts w:hint="eastAsia"/>
                <w:sz w:val="21"/>
                <w:szCs w:val="21"/>
                <w:lang w:eastAsia="zh-CN"/>
              </w:rPr>
              <w:t>内</w:t>
            </w:r>
            <w:r>
              <w:rPr>
                <w:rFonts w:hint="eastAsia"/>
                <w:sz w:val="21"/>
                <w:szCs w:val="21"/>
              </w:rPr>
              <w:t>自有或租赁标准加工厂房，标准加工厂房面积1000㎡（含）以上的计1</w:t>
            </w:r>
            <w:r>
              <w:rPr>
                <w:rFonts w:hint="eastAsia"/>
                <w:sz w:val="21"/>
                <w:szCs w:val="21"/>
                <w:lang w:val="en-US" w:eastAsia="zh-CN"/>
              </w:rPr>
              <w:t>0</w:t>
            </w:r>
            <w:r>
              <w:rPr>
                <w:rFonts w:hint="eastAsia"/>
                <w:sz w:val="21"/>
                <w:szCs w:val="21"/>
              </w:rPr>
              <w:t>分</w:t>
            </w:r>
            <w:r>
              <w:rPr>
                <w:rFonts w:hint="eastAsia"/>
                <w:sz w:val="21"/>
                <w:szCs w:val="21"/>
                <w:lang w:eastAsia="zh-CN"/>
              </w:rPr>
              <w:t>；</w:t>
            </w:r>
            <w:r>
              <w:rPr>
                <w:rFonts w:hint="eastAsia"/>
                <w:sz w:val="21"/>
                <w:szCs w:val="21"/>
              </w:rPr>
              <w:t>500㎡（含）-</w:t>
            </w:r>
            <w:r>
              <w:rPr>
                <w:rFonts w:hint="eastAsia"/>
                <w:sz w:val="21"/>
                <w:szCs w:val="21"/>
                <w:lang w:val="en-US" w:eastAsia="zh-CN"/>
              </w:rPr>
              <w:t>10</w:t>
            </w:r>
            <w:r>
              <w:rPr>
                <w:rFonts w:hint="eastAsia"/>
                <w:sz w:val="21"/>
                <w:szCs w:val="21"/>
              </w:rPr>
              <w:t>00㎡（不含）的计</w:t>
            </w:r>
            <w:r>
              <w:rPr>
                <w:rFonts w:hint="eastAsia"/>
                <w:sz w:val="21"/>
                <w:szCs w:val="21"/>
                <w:lang w:val="en-US" w:eastAsia="zh-CN"/>
              </w:rPr>
              <w:t>8</w:t>
            </w:r>
            <w:r>
              <w:rPr>
                <w:rFonts w:hint="eastAsia"/>
                <w:sz w:val="21"/>
                <w:szCs w:val="21"/>
              </w:rPr>
              <w:t>分</w:t>
            </w:r>
            <w:r>
              <w:rPr>
                <w:rFonts w:hint="eastAsia"/>
                <w:sz w:val="21"/>
                <w:szCs w:val="21"/>
                <w:lang w:eastAsia="zh-CN"/>
              </w:rPr>
              <w:t>；</w:t>
            </w:r>
            <w:r>
              <w:rPr>
                <w:rFonts w:hint="eastAsia"/>
                <w:sz w:val="21"/>
                <w:szCs w:val="21"/>
              </w:rPr>
              <w:t>500㎡（不含）以下的计5分。未提供的不计分。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2.</w:t>
            </w:r>
            <w:r>
              <w:rPr>
                <w:rFonts w:hint="eastAsia"/>
                <w:sz w:val="21"/>
                <w:szCs w:val="21"/>
              </w:rPr>
              <w:t>投标人能提供食品安全责任保险：保额为200-500万的</w:t>
            </w:r>
            <w:r>
              <w:rPr>
                <w:rFonts w:hint="eastAsia"/>
                <w:sz w:val="21"/>
                <w:szCs w:val="21"/>
                <w:lang w:eastAsia="zh-CN"/>
              </w:rPr>
              <w:t>计</w:t>
            </w:r>
            <w:r>
              <w:rPr>
                <w:rFonts w:hint="eastAsia"/>
                <w:sz w:val="21"/>
                <w:szCs w:val="21"/>
              </w:rPr>
              <w:t>5分</w:t>
            </w:r>
            <w:r>
              <w:rPr>
                <w:rFonts w:hint="eastAsia"/>
                <w:sz w:val="21"/>
                <w:szCs w:val="21"/>
                <w:lang w:eastAsia="zh-CN"/>
              </w:rPr>
              <w:t>；</w:t>
            </w:r>
            <w:r>
              <w:rPr>
                <w:rFonts w:hint="eastAsia"/>
                <w:sz w:val="21"/>
                <w:szCs w:val="21"/>
              </w:rPr>
              <w:t>500万—1000万</w:t>
            </w:r>
            <w:r>
              <w:rPr>
                <w:rFonts w:hint="eastAsia"/>
                <w:sz w:val="21"/>
                <w:szCs w:val="21"/>
                <w:lang w:eastAsia="zh-CN"/>
              </w:rPr>
              <w:t>计</w:t>
            </w:r>
            <w:r>
              <w:rPr>
                <w:rFonts w:hint="eastAsia"/>
                <w:sz w:val="21"/>
                <w:szCs w:val="21"/>
              </w:rPr>
              <w:t>8分，1000万及以上</w:t>
            </w:r>
            <w:r>
              <w:rPr>
                <w:rFonts w:hint="eastAsia"/>
                <w:sz w:val="21"/>
                <w:szCs w:val="21"/>
                <w:lang w:eastAsia="zh-CN"/>
              </w:rPr>
              <w:t>计</w:t>
            </w:r>
            <w:r>
              <w:rPr>
                <w:rFonts w:hint="eastAsia"/>
                <w:sz w:val="21"/>
                <w:szCs w:val="21"/>
              </w:rPr>
              <w:t>10分。否则不得分。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rPr>
              <w:t>投标人提供标准加工厂房的图片，并提供标准加工厂房的产权证明或租赁合同及租赁费用支付凭证相关证明原件扫描件并加盖投标人公章，面积数需在产权证明、租赁合同或租赁费用支付凭证中体现，否则不计分。保险以保单为依据。</w:t>
            </w:r>
          </w:p>
          <w:p>
            <w:pPr>
              <w:pStyle w:val="2"/>
              <w:keepNext w:val="0"/>
              <w:keepLines w:val="0"/>
              <w:pageBreakBefore w:val="0"/>
              <w:kinsoku/>
              <w:wordWrap/>
              <w:overflowPunct/>
              <w:topLinePunct w:val="0"/>
              <w:bidi w:val="0"/>
              <w:spacing w:line="240" w:lineRule="exact"/>
              <w:ind w:left="0" w:leftChars="0" w:right="0" w:rightChars="0" w:firstLine="0" w:firstLineChars="0"/>
              <w:textAlignment w:val="auto"/>
              <w:rPr>
                <w:rFonts w:hint="eastAsia"/>
                <w:sz w:val="21"/>
                <w:szCs w:val="21"/>
              </w:rPr>
            </w:pPr>
            <w:r>
              <w:rPr>
                <w:rFonts w:hint="eastAsia" w:ascii="Times New Roman" w:hAnsi="Times New Roman" w:eastAsia="宋体" w:cs="Times New Roman"/>
                <w:kern w:val="2"/>
                <w:sz w:val="21"/>
                <w:szCs w:val="21"/>
                <w:lang w:val="en-US" w:eastAsia="zh-CN" w:bidi="ar-SA"/>
              </w:rPr>
              <w:t>所有证明材料需提供原件，未提供不计分。</w:t>
            </w:r>
          </w:p>
        </w:tc>
        <w:tc>
          <w:tcPr>
            <w:tcW w:w="516"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70" w:hRule="atLeast"/>
        </w:trPr>
        <w:tc>
          <w:tcPr>
            <w:tcW w:w="10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8</w:t>
            </w:r>
          </w:p>
        </w:tc>
        <w:tc>
          <w:tcPr>
            <w:tcW w:w="1169"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冷库规模（</w:t>
            </w:r>
            <w:r>
              <w:rPr>
                <w:rFonts w:hint="eastAsia" w:cs="Times New Roman" w:asciiTheme="minorEastAsia" w:hAnsiTheme="minorEastAsia" w:eastAsiaTheme="minorEastAsia"/>
                <w:bCs/>
                <w:sz w:val="21"/>
                <w:szCs w:val="21"/>
                <w:lang w:val="en-US" w:eastAsia="zh-CN"/>
              </w:rPr>
              <w:t>10</w:t>
            </w:r>
            <w:r>
              <w:rPr>
                <w:rFonts w:hint="eastAsia" w:cs="Times New Roman" w:asciiTheme="minorEastAsia" w:hAnsiTheme="minorEastAsia" w:eastAsiaTheme="minorEastAsia"/>
                <w:bCs/>
                <w:sz w:val="21"/>
                <w:szCs w:val="21"/>
              </w:rPr>
              <w:t>分）</w:t>
            </w:r>
          </w:p>
        </w:tc>
        <w:tc>
          <w:tcPr>
            <w:tcW w:w="44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投标人</w:t>
            </w:r>
            <w:r>
              <w:rPr>
                <w:rFonts w:hint="eastAsia"/>
                <w:sz w:val="21"/>
                <w:szCs w:val="21"/>
                <w:lang w:eastAsia="zh-CN"/>
              </w:rPr>
              <w:t>在</w:t>
            </w:r>
            <w:r>
              <w:rPr>
                <w:rFonts w:hint="eastAsia"/>
                <w:sz w:val="21"/>
                <w:szCs w:val="21"/>
              </w:rPr>
              <w:t>永州市范围</w:t>
            </w:r>
            <w:r>
              <w:rPr>
                <w:rFonts w:hint="eastAsia"/>
                <w:sz w:val="21"/>
                <w:szCs w:val="21"/>
                <w:lang w:eastAsia="zh-CN"/>
              </w:rPr>
              <w:t>内</w:t>
            </w:r>
            <w:r>
              <w:rPr>
                <w:rFonts w:hint="eastAsia"/>
                <w:sz w:val="21"/>
                <w:szCs w:val="21"/>
              </w:rPr>
              <w:t>自有或租赁</w:t>
            </w:r>
            <w:r>
              <w:rPr>
                <w:rFonts w:hint="eastAsia" w:cs="Times New Roman" w:asciiTheme="minorEastAsia" w:hAnsiTheme="minorEastAsia" w:eastAsiaTheme="minorEastAsia"/>
                <w:bCs/>
                <w:sz w:val="21"/>
                <w:szCs w:val="21"/>
              </w:rPr>
              <w:t>冷库面积情况：</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lang w:val="en-US" w:eastAsia="zh-CN"/>
              </w:rPr>
              <w:t>1.</w:t>
            </w:r>
            <w:r>
              <w:rPr>
                <w:rFonts w:hint="eastAsia" w:cs="Times New Roman" w:asciiTheme="minorEastAsia" w:hAnsiTheme="minorEastAsia" w:eastAsiaTheme="minorEastAsia"/>
                <w:bCs/>
                <w:sz w:val="21"/>
                <w:szCs w:val="21"/>
              </w:rPr>
              <w:t>具有自有或租赁冷库面积200平米或以上，</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lang w:val="en-US" w:eastAsia="zh-CN"/>
              </w:rPr>
              <w:t>10</w:t>
            </w:r>
            <w:r>
              <w:rPr>
                <w:rFonts w:hint="eastAsia" w:cs="Times New Roman" w:asciiTheme="minorEastAsia" w:hAnsiTheme="minorEastAsia" w:eastAsiaTheme="minorEastAsia"/>
                <w:bCs/>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lang w:val="en-US" w:eastAsia="zh-CN"/>
              </w:rPr>
              <w:t>2.</w:t>
            </w:r>
            <w:r>
              <w:rPr>
                <w:rFonts w:hint="eastAsia" w:cs="Times New Roman" w:asciiTheme="minorEastAsia" w:hAnsiTheme="minorEastAsia" w:eastAsiaTheme="minorEastAsia"/>
                <w:bCs/>
                <w:sz w:val="21"/>
                <w:szCs w:val="21"/>
              </w:rPr>
              <w:t>具有自有或租赁冷库面积100平米（含）-</w:t>
            </w:r>
            <w:r>
              <w:rPr>
                <w:rFonts w:hint="eastAsia" w:cs="Times New Roman" w:asciiTheme="minorEastAsia" w:hAnsiTheme="minorEastAsia" w:eastAsiaTheme="minorEastAsia"/>
                <w:bCs/>
                <w:sz w:val="21"/>
                <w:szCs w:val="21"/>
                <w:lang w:val="en-US" w:eastAsia="zh-CN"/>
              </w:rPr>
              <w:t>20</w:t>
            </w:r>
            <w:r>
              <w:rPr>
                <w:rFonts w:hint="eastAsia" w:cs="Times New Roman" w:asciiTheme="minorEastAsia" w:hAnsiTheme="minorEastAsia" w:eastAsiaTheme="minorEastAsia"/>
                <w:bCs/>
                <w:sz w:val="21"/>
                <w:szCs w:val="21"/>
              </w:rPr>
              <w:t>0平方米（不含），</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lang w:val="en-US" w:eastAsia="zh-CN"/>
              </w:rPr>
              <w:t>7</w:t>
            </w:r>
            <w:r>
              <w:rPr>
                <w:rFonts w:hint="eastAsia" w:cs="Times New Roman" w:asciiTheme="minorEastAsia" w:hAnsiTheme="minorEastAsia" w:eastAsiaTheme="minorEastAsia"/>
                <w:bCs/>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lang w:val="en-US" w:eastAsia="zh-CN"/>
              </w:rPr>
              <w:t>3.</w:t>
            </w:r>
            <w:r>
              <w:rPr>
                <w:rFonts w:hint="eastAsia" w:cs="Times New Roman" w:asciiTheme="minorEastAsia" w:hAnsiTheme="minorEastAsia" w:eastAsiaTheme="minorEastAsia"/>
                <w:bCs/>
                <w:sz w:val="21"/>
                <w:szCs w:val="21"/>
              </w:rPr>
              <w:t>100平米（不含）以下的</w:t>
            </w:r>
            <w:r>
              <w:rPr>
                <w:rFonts w:hint="eastAsia" w:cs="Times New Roman" w:asciiTheme="minorEastAsia" w:hAnsiTheme="minorEastAsia" w:eastAsiaTheme="minorEastAsia"/>
                <w:bCs/>
                <w:sz w:val="21"/>
                <w:szCs w:val="21"/>
                <w:lang w:eastAsia="zh-CN"/>
              </w:rPr>
              <w:t>计</w:t>
            </w:r>
            <w:r>
              <w:rPr>
                <w:rFonts w:hint="eastAsia" w:cs="Times New Roman" w:asciiTheme="minorEastAsia" w:hAnsiTheme="minorEastAsia" w:eastAsiaTheme="minorEastAsia"/>
                <w:bCs/>
                <w:sz w:val="21"/>
                <w:szCs w:val="21"/>
                <w:lang w:val="en-US" w:eastAsia="zh-CN"/>
              </w:rPr>
              <w:t>4</w:t>
            </w:r>
            <w:r>
              <w:rPr>
                <w:rFonts w:hint="eastAsia" w:cs="Times New Roman" w:asciiTheme="minorEastAsia" w:hAnsiTheme="minorEastAsia" w:eastAsiaTheme="minorEastAsia"/>
                <w:bCs/>
                <w:sz w:val="21"/>
                <w:szCs w:val="21"/>
              </w:rPr>
              <w:t>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提供冷库的产权证明或租赁合同复印件（证明材料需体现面积范围</w:t>
            </w:r>
            <w:r>
              <w:rPr>
                <w:rFonts w:hint="eastAsia" w:cs="Times New Roman" w:asciiTheme="minorEastAsia" w:hAnsiTheme="minorEastAsia" w:eastAsiaTheme="minorEastAsia"/>
                <w:bCs/>
                <w:sz w:val="21"/>
                <w:szCs w:val="21"/>
                <w:lang w:val="en-US" w:eastAsia="zh-CN"/>
              </w:rPr>
              <w:t>及近三个月的租赁费用支付凭证</w:t>
            </w:r>
            <w:r>
              <w:rPr>
                <w:rFonts w:hint="eastAsia" w:cs="Times New Roman" w:asciiTheme="minorEastAsia" w:hAnsiTheme="minorEastAsia" w:eastAsiaTheme="minorEastAsia"/>
                <w:bCs/>
                <w:sz w:val="21"/>
                <w:szCs w:val="21"/>
              </w:rPr>
              <w:t>）加盖投标人公章，不满足要求或未提供证明材料不得分。</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cs="Times New Roman" w:asciiTheme="minorEastAsia" w:hAnsiTheme="minorEastAsia" w:eastAsiaTheme="minorEastAsia"/>
                <w:bCs/>
                <w:sz w:val="21"/>
                <w:szCs w:val="21"/>
              </w:rPr>
            </w:pPr>
            <w:r>
              <w:rPr>
                <w:rFonts w:hint="eastAsia"/>
                <w:sz w:val="21"/>
                <w:szCs w:val="21"/>
                <w:lang w:val="en-US" w:eastAsia="zh-CN"/>
              </w:rPr>
              <w:t>所有证明材料需提供原件，未提供不计分。</w:t>
            </w:r>
          </w:p>
        </w:tc>
        <w:tc>
          <w:tcPr>
            <w:tcW w:w="516"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27" w:hRule="atLeast"/>
        </w:trPr>
        <w:tc>
          <w:tcPr>
            <w:tcW w:w="10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left"/>
              <w:textAlignment w:val="auto"/>
              <w:rPr>
                <w:rFonts w:hint="eastAsia" w:cs="Times New Roman" w:asciiTheme="minorEastAsia" w:hAnsiTheme="minorEastAsia" w:eastAsiaTheme="minorEastAsia"/>
                <w:bCs/>
                <w:sz w:val="21"/>
                <w:szCs w:val="21"/>
              </w:rPr>
            </w:pPr>
            <w:r>
              <w:rPr>
                <w:rFonts w:hint="eastAsia" w:cs="Times New Roman" w:asciiTheme="minorEastAsia" w:hAnsiTheme="minorEastAsia" w:eastAsiaTheme="minorEastAsia"/>
                <w:bCs/>
                <w:sz w:val="21"/>
                <w:szCs w:val="21"/>
              </w:rPr>
              <w:t>9</w:t>
            </w:r>
          </w:p>
        </w:tc>
        <w:tc>
          <w:tcPr>
            <w:tcW w:w="1169"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rPr>
              <w:t>货源要求（10分）</w:t>
            </w:r>
          </w:p>
        </w:tc>
        <w:tc>
          <w:tcPr>
            <w:tcW w:w="4476" w:type="dxa"/>
            <w:tcBorders>
              <w:top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1.</w:t>
            </w:r>
            <w:r>
              <w:rPr>
                <w:rFonts w:hint="eastAsia"/>
                <w:sz w:val="21"/>
                <w:szCs w:val="21"/>
              </w:rPr>
              <w:t>投标人</w:t>
            </w:r>
            <w:r>
              <w:rPr>
                <w:rFonts w:hint="eastAsia"/>
                <w:sz w:val="21"/>
                <w:szCs w:val="21"/>
                <w:lang w:eastAsia="zh-CN"/>
              </w:rPr>
              <w:t>在</w:t>
            </w:r>
            <w:r>
              <w:rPr>
                <w:rFonts w:hint="eastAsia"/>
                <w:sz w:val="21"/>
                <w:szCs w:val="21"/>
              </w:rPr>
              <w:t>永州市范围</w:t>
            </w:r>
            <w:r>
              <w:rPr>
                <w:rFonts w:hint="eastAsia"/>
                <w:sz w:val="21"/>
                <w:szCs w:val="21"/>
                <w:lang w:eastAsia="zh-CN"/>
              </w:rPr>
              <w:t>内</w:t>
            </w:r>
            <w:r>
              <w:rPr>
                <w:rFonts w:hint="eastAsia"/>
                <w:sz w:val="21"/>
                <w:szCs w:val="21"/>
              </w:rPr>
              <w:t>自有或租赁有种养殖基地1000亩（含）以上</w:t>
            </w:r>
            <w:r>
              <w:rPr>
                <w:rFonts w:hint="eastAsia"/>
                <w:sz w:val="21"/>
                <w:szCs w:val="21"/>
                <w:lang w:eastAsia="zh-CN"/>
              </w:rPr>
              <w:t>计</w:t>
            </w:r>
            <w:r>
              <w:rPr>
                <w:rFonts w:hint="eastAsia"/>
                <w:sz w:val="21"/>
                <w:szCs w:val="21"/>
                <w:lang w:val="en-US" w:eastAsia="zh-CN"/>
              </w:rPr>
              <w:t>5</w:t>
            </w:r>
            <w:r>
              <w:rPr>
                <w:rFonts w:hint="eastAsia"/>
                <w:sz w:val="21"/>
                <w:szCs w:val="21"/>
              </w:rPr>
              <w:t>分</w:t>
            </w:r>
            <w:r>
              <w:rPr>
                <w:rFonts w:hint="eastAsia"/>
                <w:sz w:val="21"/>
                <w:szCs w:val="21"/>
                <w:lang w:eastAsia="zh-CN"/>
              </w:rPr>
              <w:t>；</w:t>
            </w:r>
            <w:r>
              <w:rPr>
                <w:rFonts w:hint="eastAsia"/>
                <w:sz w:val="21"/>
                <w:szCs w:val="21"/>
              </w:rPr>
              <w:t>1000亩以下</w:t>
            </w:r>
            <w:r>
              <w:rPr>
                <w:rFonts w:hint="eastAsia"/>
                <w:sz w:val="21"/>
                <w:szCs w:val="21"/>
                <w:lang w:eastAsia="zh-CN"/>
              </w:rPr>
              <w:t>计</w:t>
            </w:r>
            <w:r>
              <w:rPr>
                <w:rFonts w:hint="eastAsia"/>
                <w:sz w:val="21"/>
                <w:szCs w:val="21"/>
                <w:lang w:val="en-US" w:eastAsia="zh-CN"/>
              </w:rPr>
              <w:t>3</w:t>
            </w:r>
            <w:r>
              <w:rPr>
                <w:rFonts w:hint="eastAsia"/>
                <w:sz w:val="21"/>
                <w:szCs w:val="21"/>
              </w:rPr>
              <w:t>分。提供基地自有证明材料</w:t>
            </w:r>
            <w:r>
              <w:rPr>
                <w:rFonts w:hint="eastAsia"/>
                <w:sz w:val="21"/>
                <w:szCs w:val="21"/>
                <w:lang w:eastAsia="zh-CN"/>
              </w:rPr>
              <w:t>、</w:t>
            </w:r>
            <w:r>
              <w:rPr>
                <w:rFonts w:hint="eastAsia"/>
                <w:sz w:val="21"/>
                <w:szCs w:val="21"/>
              </w:rPr>
              <w:t>租赁协议</w:t>
            </w:r>
            <w:r>
              <w:rPr>
                <w:rFonts w:hint="eastAsia"/>
                <w:sz w:val="21"/>
                <w:szCs w:val="21"/>
                <w:lang w:val="en-US" w:eastAsia="zh-CN"/>
              </w:rPr>
              <w:t>及</w:t>
            </w:r>
            <w:r>
              <w:rPr>
                <w:rFonts w:hint="eastAsia"/>
                <w:sz w:val="21"/>
                <w:szCs w:val="21"/>
              </w:rPr>
              <w:t>租赁费用支付凭证，合同需体现基地面积。</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2.</w:t>
            </w:r>
            <w:r>
              <w:rPr>
                <w:rFonts w:hint="eastAsia"/>
                <w:sz w:val="21"/>
                <w:szCs w:val="21"/>
              </w:rPr>
              <w:t>与国内知名品牌企业或经销商有购销协议</w:t>
            </w:r>
            <w:r>
              <w:rPr>
                <w:rFonts w:hint="eastAsia"/>
                <w:sz w:val="21"/>
                <w:szCs w:val="21"/>
                <w:lang w:eastAsia="zh-CN"/>
              </w:rPr>
              <w:t>的，每提供</w:t>
            </w:r>
            <w:r>
              <w:rPr>
                <w:rFonts w:hint="eastAsia"/>
                <w:sz w:val="21"/>
                <w:szCs w:val="21"/>
                <w:lang w:val="en-US" w:eastAsia="zh-CN"/>
              </w:rPr>
              <w:t>1个计1分，本项最高计</w:t>
            </w:r>
            <w:r>
              <w:rPr>
                <w:rFonts w:hint="eastAsia"/>
                <w:sz w:val="21"/>
                <w:szCs w:val="21"/>
              </w:rPr>
              <w:t>5</w:t>
            </w:r>
            <w:r>
              <w:rPr>
                <w:rFonts w:hint="eastAsia"/>
                <w:sz w:val="21"/>
                <w:szCs w:val="21"/>
                <w:lang w:eastAsia="zh-CN"/>
              </w:rPr>
              <w:t>分。</w:t>
            </w:r>
            <w:r>
              <w:rPr>
                <w:rFonts w:hint="eastAsia"/>
                <w:sz w:val="21"/>
                <w:szCs w:val="21"/>
              </w:rPr>
              <w:t>提供商品经销协议书或授权书。</w:t>
            </w:r>
          </w:p>
          <w:p>
            <w:pPr>
              <w:keepNext w:val="0"/>
              <w:keepLines w:val="0"/>
              <w:pageBreakBefore w:val="0"/>
              <w:kinsoku/>
              <w:wordWrap/>
              <w:overflowPunct/>
              <w:topLinePunct w:val="0"/>
              <w:bidi w:val="0"/>
              <w:adjustRightInd w:val="0"/>
              <w:snapToGrid w:val="0"/>
              <w:spacing w:line="240" w:lineRule="exact"/>
              <w:ind w:right="0" w:rightChars="0"/>
              <w:jc w:val="left"/>
              <w:textAlignment w:val="auto"/>
              <w:rPr>
                <w:rFonts w:hint="eastAsia"/>
                <w:sz w:val="21"/>
                <w:szCs w:val="21"/>
              </w:rPr>
            </w:pPr>
            <w:r>
              <w:rPr>
                <w:rFonts w:hint="eastAsia"/>
                <w:sz w:val="21"/>
                <w:szCs w:val="21"/>
                <w:lang w:val="en-US" w:eastAsia="zh-CN"/>
              </w:rPr>
              <w:t>所有证明材料需提供原件，未提供不计分。</w:t>
            </w:r>
          </w:p>
        </w:tc>
        <w:tc>
          <w:tcPr>
            <w:tcW w:w="516"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top w:val="single" w:color="auto" w:sz="4"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8" w:hRule="atLeast"/>
        </w:trPr>
        <w:tc>
          <w:tcPr>
            <w:tcW w:w="2245" w:type="dxa"/>
            <w:gridSpan w:val="2"/>
            <w:tcBorders>
              <w:right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center"/>
              <w:textAlignment w:val="auto"/>
              <w:rPr>
                <w:rFonts w:hint="eastAsia" w:cs="Times New Roman" w:asciiTheme="minorEastAsia" w:hAnsiTheme="minorEastAsia" w:eastAsiaTheme="minorEastAsia"/>
                <w:bCs/>
                <w:sz w:val="21"/>
                <w:szCs w:val="21"/>
                <w:lang w:eastAsia="zh-CN"/>
              </w:rPr>
            </w:pPr>
            <w:r>
              <w:rPr>
                <w:rFonts w:hint="eastAsia" w:cs="Times New Roman" w:asciiTheme="minorEastAsia" w:hAnsiTheme="minorEastAsia" w:eastAsiaTheme="minorEastAsia"/>
                <w:bCs/>
                <w:sz w:val="21"/>
                <w:szCs w:val="21"/>
                <w:lang w:eastAsia="zh-CN"/>
              </w:rPr>
              <w:t>商务得分</w:t>
            </w:r>
          </w:p>
        </w:tc>
        <w:tc>
          <w:tcPr>
            <w:tcW w:w="4476" w:type="dxa"/>
            <w:tcBorders>
              <w:left w:val="single" w:color="auto" w:sz="4"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center"/>
              <w:textAlignment w:val="auto"/>
              <w:rPr>
                <w:rFonts w:hint="eastAsia" w:cs="Times New Roman" w:asciiTheme="minorEastAsia" w:hAnsiTheme="minorEastAsia" w:eastAsiaTheme="minorEastAsia"/>
                <w:bCs/>
                <w:sz w:val="21"/>
                <w:szCs w:val="21"/>
                <w:lang w:eastAsia="zh-CN"/>
              </w:rPr>
            </w:pPr>
            <w:r>
              <w:rPr>
                <w:rFonts w:hint="eastAsia" w:cs="Times New Roman" w:asciiTheme="minorEastAsia" w:hAnsiTheme="minorEastAsia" w:eastAsiaTheme="minorEastAsia"/>
                <w:bCs/>
                <w:sz w:val="21"/>
                <w:szCs w:val="21"/>
                <w:lang w:eastAsia="zh-CN"/>
              </w:rPr>
              <w:t>100分</w:t>
            </w:r>
          </w:p>
        </w:tc>
        <w:tc>
          <w:tcPr>
            <w:tcW w:w="516" w:type="dxa"/>
            <w:noWrap w:val="0"/>
            <w:vAlign w:val="center"/>
          </w:tcPr>
          <w:p>
            <w:pPr>
              <w:keepNext w:val="0"/>
              <w:keepLines w:val="0"/>
              <w:pageBreakBefore w:val="0"/>
              <w:widowControl/>
              <w:kinsoku/>
              <w:wordWrap/>
              <w:overflowPunct/>
              <w:topLinePunct w:val="0"/>
              <w:bidi w:val="0"/>
              <w:spacing w:line="240" w:lineRule="exact"/>
              <w:ind w:left="0" w:leftChars="0" w:right="0" w:rightChars="0"/>
              <w:textAlignment w:val="auto"/>
              <w:rPr>
                <w:rFonts w:ascii="仿宋" w:hAnsi="仿宋" w:eastAsia="仿宋"/>
                <w:color w:val="000000"/>
                <w:sz w:val="21"/>
                <w:szCs w:val="21"/>
                <w:lang w:bidi="mr-IN"/>
              </w:rPr>
            </w:pPr>
          </w:p>
        </w:tc>
        <w:tc>
          <w:tcPr>
            <w:tcW w:w="719"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6721" w:type="dxa"/>
            <w:gridSpan w:val="3"/>
            <w:tcBorders>
              <w:bottom w:val="single" w:color="auto" w:sz="12" w:space="0"/>
            </w:tcBorders>
            <w:noWrap w:val="0"/>
            <w:vAlign w:val="center"/>
          </w:tcPr>
          <w:p>
            <w:pPr>
              <w:keepNext w:val="0"/>
              <w:keepLines w:val="0"/>
              <w:pageBreakBefore w:val="0"/>
              <w:kinsoku/>
              <w:wordWrap/>
              <w:overflowPunct/>
              <w:topLinePunct w:val="0"/>
              <w:bidi w:val="0"/>
              <w:adjustRightInd w:val="0"/>
              <w:snapToGrid w:val="0"/>
              <w:spacing w:line="240" w:lineRule="exact"/>
              <w:ind w:left="0" w:leftChars="0" w:right="0" w:rightChars="0" w:firstLine="420" w:firstLineChars="200"/>
              <w:jc w:val="center"/>
              <w:textAlignment w:val="auto"/>
              <w:rPr>
                <w:rFonts w:hint="eastAsia" w:cs="Times New Roman" w:asciiTheme="minorEastAsia" w:hAnsiTheme="minorEastAsia" w:eastAsiaTheme="minorEastAsia"/>
                <w:bCs/>
                <w:sz w:val="21"/>
                <w:szCs w:val="21"/>
                <w:lang w:eastAsia="zh-CN"/>
              </w:rPr>
            </w:pPr>
            <w:r>
              <w:rPr>
                <w:rFonts w:hint="eastAsia" w:cs="Times New Roman" w:asciiTheme="minorEastAsia" w:hAnsiTheme="minorEastAsia" w:eastAsiaTheme="minorEastAsia"/>
                <w:bCs/>
                <w:sz w:val="21"/>
                <w:szCs w:val="21"/>
                <w:lang w:eastAsia="zh-CN"/>
              </w:rPr>
              <w:t>商务加权得分=商务得分*0.6</w:t>
            </w:r>
          </w:p>
        </w:tc>
        <w:tc>
          <w:tcPr>
            <w:tcW w:w="516" w:type="dxa"/>
            <w:tcBorders>
              <w:bottom w:val="single" w:color="auto" w:sz="12" w:space="0"/>
            </w:tcBorders>
            <w:noWrap w:val="0"/>
            <w:vAlign w:val="center"/>
          </w:tcPr>
          <w:p>
            <w:pPr>
              <w:keepNext w:val="0"/>
              <w:keepLines w:val="0"/>
              <w:pageBreakBefore w:val="0"/>
              <w:widowControl/>
              <w:kinsoku/>
              <w:wordWrap/>
              <w:overflowPunct/>
              <w:topLinePunct w:val="0"/>
              <w:bidi w:val="0"/>
              <w:spacing w:line="240" w:lineRule="exact"/>
              <w:ind w:left="0" w:leftChars="0" w:right="0" w:rightChars="0"/>
              <w:textAlignment w:val="auto"/>
              <w:rPr>
                <w:rFonts w:ascii="仿宋" w:hAnsi="仿宋" w:eastAsia="仿宋"/>
                <w:color w:val="000000"/>
                <w:sz w:val="21"/>
                <w:szCs w:val="21"/>
                <w:lang w:bidi="mr-IN"/>
              </w:rPr>
            </w:pPr>
          </w:p>
        </w:tc>
        <w:tc>
          <w:tcPr>
            <w:tcW w:w="719" w:type="dxa"/>
            <w:tcBorders>
              <w:bottom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719" w:type="dxa"/>
            <w:tcBorders>
              <w:bottom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c>
          <w:tcPr>
            <w:tcW w:w="1155" w:type="dxa"/>
            <w:tcBorders>
              <w:bottom w:val="single" w:color="auto" w:sz="12" w:space="0"/>
            </w:tcBorders>
            <w:noWrap w:val="0"/>
            <w:vAlign w:val="center"/>
          </w:tcPr>
          <w:p>
            <w:pPr>
              <w:keepNext w:val="0"/>
              <w:keepLines w:val="0"/>
              <w:pageBreakBefore w:val="0"/>
              <w:kinsoku/>
              <w:wordWrap/>
              <w:overflowPunct/>
              <w:topLinePunct w:val="0"/>
              <w:bidi w:val="0"/>
              <w:spacing w:line="240" w:lineRule="exact"/>
              <w:ind w:left="0" w:leftChars="0" w:right="0" w:rightChars="0"/>
              <w:jc w:val="center"/>
              <w:textAlignment w:val="auto"/>
              <w:rPr>
                <w:rFonts w:ascii="仿宋" w:hAnsi="仿宋" w:eastAsia="仿宋"/>
                <w:color w:val="000000"/>
                <w:sz w:val="21"/>
                <w:szCs w:val="21"/>
              </w:rPr>
            </w:pPr>
          </w:p>
        </w:tc>
      </w:tr>
    </w:tbl>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eastAsia="zh-CN"/>
        </w:rPr>
      </w:pPr>
    </w:p>
    <w:p>
      <w:pPr>
        <w:widowControl/>
        <w:adjustRightInd w:val="0"/>
        <w:snapToGrid w:val="0"/>
        <w:spacing w:before="156" w:beforeLines="50" w:line="360" w:lineRule="auto"/>
        <w:jc w:val="left"/>
        <w:rPr>
          <w:rFonts w:hint="eastAsia" w:asciiTheme="minorEastAsia" w:hAnsiTheme="minorEastAsia" w:eastAsiaTheme="minorEastAsia"/>
          <w:b/>
          <w:szCs w:val="21"/>
          <w:lang w:eastAsia="zh-CN"/>
        </w:rPr>
      </w:pPr>
    </w:p>
    <w:p>
      <w:pPr>
        <w:widowControl/>
        <w:adjustRightInd w:val="0"/>
        <w:snapToGrid w:val="0"/>
        <w:spacing w:before="156" w:beforeLines="50" w:line="360" w:lineRule="auto"/>
        <w:ind w:firstLine="482" w:firstLineChars="200"/>
        <w:jc w:val="left"/>
        <w:rPr>
          <w:rFonts w:hint="default" w:ascii="仿宋" w:hAnsi="仿宋" w:eastAsia="仿宋" w:cs="Times New Roman"/>
          <w:b/>
          <w:bCs w:val="0"/>
          <w:color w:val="000000"/>
          <w:kern w:val="2"/>
          <w:sz w:val="24"/>
          <w:szCs w:val="24"/>
          <w:lang w:val="en-US" w:eastAsia="zh-CN" w:bidi="ar-SA"/>
        </w:rPr>
      </w:pPr>
      <w:r>
        <w:rPr>
          <w:rFonts w:hint="eastAsia" w:ascii="仿宋" w:hAnsi="仿宋" w:eastAsia="仿宋" w:cs="Times New Roman"/>
          <w:b/>
          <w:bCs w:val="0"/>
          <w:color w:val="000000"/>
          <w:kern w:val="2"/>
          <w:sz w:val="24"/>
          <w:szCs w:val="24"/>
          <w:lang w:val="en-US" w:eastAsia="zh-CN" w:bidi="ar-SA"/>
        </w:rPr>
        <w:t>（2）技术部分</w:t>
      </w:r>
    </w:p>
    <w:tbl>
      <w:tblPr>
        <w:tblStyle w:val="42"/>
        <w:tblW w:w="9887" w:type="dxa"/>
        <w:tblInd w:w="-48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39"/>
        <w:gridCol w:w="1427"/>
        <w:gridCol w:w="4091"/>
        <w:gridCol w:w="832"/>
        <w:gridCol w:w="832"/>
        <w:gridCol w:w="832"/>
        <w:gridCol w:w="8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1039" w:type="dxa"/>
            <w:vMerge w:val="restart"/>
            <w:tcBorders>
              <w:top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1427" w:type="dxa"/>
            <w:vMerge w:val="restart"/>
            <w:tcBorders>
              <w:top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项目</w:t>
            </w:r>
          </w:p>
        </w:tc>
        <w:tc>
          <w:tcPr>
            <w:tcW w:w="4091" w:type="dxa"/>
            <w:vMerge w:val="restart"/>
            <w:tcBorders>
              <w:top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评分标准</w:t>
            </w:r>
          </w:p>
        </w:tc>
        <w:tc>
          <w:tcPr>
            <w:tcW w:w="3330" w:type="dxa"/>
            <w:gridSpan w:val="4"/>
            <w:tcBorders>
              <w:top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1039" w:type="dxa"/>
            <w:vMerge w:val="continue"/>
            <w:tcBorders>
              <w:top w:val="single" w:color="auto" w:sz="12" w:space="0"/>
            </w:tcBorders>
            <w:noWrap w:val="0"/>
            <w:vAlign w:val="center"/>
          </w:tcPr>
          <w:p>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1427" w:type="dxa"/>
            <w:vMerge w:val="continue"/>
            <w:noWrap w:val="0"/>
            <w:vAlign w:val="center"/>
          </w:tcPr>
          <w:p>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4091" w:type="dxa"/>
            <w:vMerge w:val="continue"/>
            <w:tcBorders>
              <w:top w:val="single" w:color="auto" w:sz="12" w:space="0"/>
            </w:tcBorders>
            <w:noWrap w:val="0"/>
            <w:vAlign w:val="center"/>
          </w:tcPr>
          <w:p>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c>
          <w:tcPr>
            <w:tcW w:w="834" w:type="dxa"/>
            <w:noWrap w:val="0"/>
            <w:vAlign w:val="center"/>
          </w:tcPr>
          <w:p>
            <w:pPr>
              <w:keepNext w:val="0"/>
              <w:keepLines w:val="0"/>
              <w:pageBreakBefore w:val="0"/>
              <w:kinsoku/>
              <w:wordWrap/>
              <w:overflowPunct/>
              <w:topLinePunct w:val="0"/>
              <w:autoSpaceDE/>
              <w:autoSpaceDN/>
              <w:bidi w:val="0"/>
              <w:spacing w:line="280" w:lineRule="exact"/>
              <w:jc w:val="center"/>
              <w:textAlignment w:val="auto"/>
              <w:rPr>
                <w:rFonts w:hint="eastAsia" w:ascii="宋体" w:hAnsi="宋体" w:eastAsia="宋体" w:cs="宋体"/>
                <w:b/>
                <w:bCs/>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52" w:hRule="atLeast"/>
        </w:trPr>
        <w:tc>
          <w:tcPr>
            <w:tcW w:w="103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w:t>
            </w:r>
          </w:p>
        </w:tc>
        <w:tc>
          <w:tcPr>
            <w:tcW w:w="1427" w:type="dxa"/>
            <w:tcBorders>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食品应急服务响应方案</w:t>
            </w:r>
          </w:p>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25</w:t>
            </w:r>
            <w:r>
              <w:rPr>
                <w:rFonts w:hint="eastAsia" w:ascii="宋体" w:hAnsi="宋体" w:eastAsia="宋体" w:cs="宋体"/>
                <w:bCs/>
                <w:sz w:val="21"/>
                <w:szCs w:val="21"/>
              </w:rPr>
              <w:t>分）</w:t>
            </w:r>
          </w:p>
        </w:tc>
        <w:tc>
          <w:tcPr>
            <w:tcW w:w="4091"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lang w:val="en-US" w:eastAsia="zh-CN"/>
              </w:rPr>
            </w:pPr>
            <w:r>
              <w:rPr>
                <w:rFonts w:hint="eastAsia"/>
                <w:lang w:val="en-US" w:eastAsia="zh-CN"/>
              </w:rPr>
              <w:t>1.本方案不限于但至少包含物流配送应急预案、食品安全应急预案：方案可行，考虑周全，遇突发情况应对措施有力的计20分；每存在一处缺漏或不完整扣2分，扣完为止，无应急方案措施不计分</w:t>
            </w:r>
          </w:p>
          <w:p>
            <w:pPr>
              <w:pStyle w:val="2"/>
              <w:ind w:left="0" w:leftChars="0" w:firstLine="0" w:firstLineChars="0"/>
              <w:rPr>
                <w:rFonts w:hint="eastAsia"/>
                <w:lang w:eastAsia="zh-CN"/>
              </w:rPr>
            </w:pPr>
            <w:r>
              <w:rPr>
                <w:rStyle w:val="44"/>
                <w:rFonts w:hint="eastAsia" w:hAnsi="宋体" w:cs="宋体"/>
                <w:b w:val="0"/>
                <w:sz w:val="21"/>
                <w:szCs w:val="24"/>
                <w:lang w:val="en-US" w:eastAsia="zh-CN"/>
              </w:rPr>
              <w:t>2.</w:t>
            </w:r>
            <w:r>
              <w:rPr>
                <w:rStyle w:val="44"/>
                <w:rFonts w:hint="eastAsia" w:ascii="宋体" w:hAnsi="宋体" w:eastAsia="宋体" w:cs="宋体"/>
                <w:b w:val="0"/>
                <w:sz w:val="21"/>
                <w:szCs w:val="24"/>
                <w:lang w:eastAsia="zh-CN"/>
              </w:rPr>
              <w:t>采购人</w:t>
            </w:r>
            <w:r>
              <w:rPr>
                <w:rStyle w:val="44"/>
                <w:rFonts w:ascii="宋体" w:hAnsi="宋体" w:eastAsia="宋体" w:cs="宋体"/>
                <w:b w:val="0"/>
                <w:sz w:val="21"/>
                <w:szCs w:val="24"/>
              </w:rPr>
              <w:t>在紧急需求或更换货物时，供应商能在1小时内送达的计</w:t>
            </w:r>
            <w:r>
              <w:rPr>
                <w:rStyle w:val="44"/>
                <w:rFonts w:hint="eastAsia" w:hAnsi="宋体" w:cs="宋体"/>
                <w:b w:val="0"/>
                <w:sz w:val="21"/>
                <w:szCs w:val="24"/>
                <w:lang w:val="en-US" w:eastAsia="zh-CN"/>
              </w:rPr>
              <w:t>5</w:t>
            </w:r>
            <w:r>
              <w:rPr>
                <w:rStyle w:val="44"/>
                <w:rFonts w:ascii="宋体" w:hAnsi="宋体" w:eastAsia="宋体" w:cs="宋体"/>
                <w:b w:val="0"/>
                <w:sz w:val="21"/>
                <w:szCs w:val="24"/>
              </w:rPr>
              <w:t>分；在2小时内送达的计</w:t>
            </w:r>
            <w:r>
              <w:rPr>
                <w:rStyle w:val="44"/>
                <w:rFonts w:hint="eastAsia" w:hAnsi="宋体" w:cs="宋体"/>
                <w:b w:val="0"/>
                <w:sz w:val="21"/>
                <w:szCs w:val="24"/>
                <w:lang w:val="en-US" w:eastAsia="zh-CN"/>
              </w:rPr>
              <w:t>3</w:t>
            </w:r>
            <w:r>
              <w:rPr>
                <w:rStyle w:val="44"/>
                <w:rFonts w:ascii="宋体" w:hAnsi="宋体" w:eastAsia="宋体" w:cs="宋体"/>
                <w:b w:val="0"/>
                <w:sz w:val="21"/>
                <w:szCs w:val="24"/>
              </w:rPr>
              <w:t>分；在3小时内送达的计1分。</w:t>
            </w:r>
          </w:p>
        </w:tc>
        <w:tc>
          <w:tcPr>
            <w:tcW w:w="832" w:type="dxa"/>
            <w:vMerge w:val="restart"/>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restart"/>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restart"/>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vMerge w:val="restart"/>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4" w:hRule="atLeast"/>
        </w:trPr>
        <w:tc>
          <w:tcPr>
            <w:tcW w:w="1039"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w:t>
            </w:r>
          </w:p>
        </w:tc>
        <w:tc>
          <w:tcPr>
            <w:tcW w:w="1427"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服务质量保证方案</w:t>
            </w:r>
          </w:p>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sz w:val="21"/>
                <w:szCs w:val="21"/>
                <w:lang w:val="en-US" w:eastAsia="zh-CN"/>
              </w:rPr>
              <w:t>35</w:t>
            </w:r>
            <w:r>
              <w:rPr>
                <w:rFonts w:hint="eastAsia" w:ascii="宋体" w:hAnsi="宋体" w:eastAsia="宋体" w:cs="宋体"/>
                <w:bCs/>
                <w:sz w:val="21"/>
                <w:szCs w:val="21"/>
              </w:rPr>
              <w:t>分）</w:t>
            </w:r>
          </w:p>
        </w:tc>
        <w:tc>
          <w:tcPr>
            <w:tcW w:w="4091" w:type="dxa"/>
            <w:tcBorders>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rPr>
            </w:pPr>
            <w:r>
              <w:rPr>
                <w:rFonts w:hint="eastAsia"/>
              </w:rPr>
              <w:t>评委横向比较质量、安全保障措施方案（根据货物的来源、加工、包装、保存、运输等各环节的质量保证措施进行评价）</w:t>
            </w:r>
            <w:r>
              <w:rPr>
                <w:rFonts w:hint="eastAsia"/>
                <w:lang w:eastAsia="zh-CN"/>
              </w:rPr>
              <w:t>，</w:t>
            </w:r>
            <w:r>
              <w:rPr>
                <w:rFonts w:hint="eastAsia"/>
              </w:rPr>
              <w:t>方案考虑周全，质量在采购验收环节能得到有效控制</w:t>
            </w:r>
            <w:r>
              <w:rPr>
                <w:rFonts w:hint="eastAsia"/>
                <w:lang w:eastAsia="zh-CN"/>
              </w:rPr>
              <w:t>计</w:t>
            </w:r>
            <w:r>
              <w:rPr>
                <w:rFonts w:hint="eastAsia"/>
                <w:lang w:val="en-US" w:eastAsia="zh-CN"/>
              </w:rPr>
              <w:t>35</w:t>
            </w:r>
            <w:r>
              <w:rPr>
                <w:rFonts w:hint="eastAsia"/>
              </w:rPr>
              <w:t>分；每存在一处缺漏或不完整扣</w:t>
            </w:r>
            <w:r>
              <w:rPr>
                <w:rFonts w:hint="eastAsia"/>
                <w:lang w:val="en-US" w:eastAsia="zh-CN"/>
              </w:rPr>
              <w:t>3.5</w:t>
            </w:r>
            <w:r>
              <w:rPr>
                <w:rFonts w:hint="eastAsia"/>
              </w:rPr>
              <w:t>分，扣完为止</w:t>
            </w:r>
            <w:r>
              <w:rPr>
                <w:rFonts w:hint="eastAsia"/>
                <w:lang w:eastAsia="zh-CN"/>
              </w:rPr>
              <w:t>，</w:t>
            </w:r>
            <w:r>
              <w:rPr>
                <w:rFonts w:hint="eastAsia"/>
              </w:rPr>
              <w:t>无质量保证方案</w:t>
            </w:r>
            <w:r>
              <w:rPr>
                <w:rFonts w:hint="eastAsia"/>
                <w:lang w:eastAsia="zh-CN"/>
              </w:rPr>
              <w:t>不计分</w:t>
            </w:r>
            <w:r>
              <w:rPr>
                <w:rFonts w:hint="eastAsia"/>
              </w:rPr>
              <w:t>。</w:t>
            </w: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39" w:hRule="atLeast"/>
        </w:trPr>
        <w:tc>
          <w:tcPr>
            <w:tcW w:w="103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w:t>
            </w:r>
          </w:p>
        </w:tc>
        <w:tc>
          <w:tcPr>
            <w:tcW w:w="1427" w:type="dxa"/>
            <w:tcBorders>
              <w:top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配送方案 （</w:t>
            </w:r>
            <w:r>
              <w:rPr>
                <w:rFonts w:hint="eastAsia" w:ascii="宋体" w:hAnsi="宋体" w:eastAsia="宋体" w:cs="宋体"/>
                <w:bCs/>
                <w:sz w:val="21"/>
                <w:szCs w:val="21"/>
                <w:lang w:val="en-US" w:eastAsia="zh-CN"/>
              </w:rPr>
              <w:t>30</w:t>
            </w:r>
            <w:r>
              <w:rPr>
                <w:rFonts w:hint="eastAsia" w:ascii="宋体" w:hAnsi="宋体" w:eastAsia="宋体" w:cs="宋体"/>
                <w:bCs/>
                <w:sz w:val="21"/>
                <w:szCs w:val="21"/>
              </w:rPr>
              <w:t>分）</w:t>
            </w:r>
          </w:p>
        </w:tc>
        <w:tc>
          <w:tcPr>
            <w:tcW w:w="4091" w:type="dxa"/>
            <w:tcBorders>
              <w:top w:val="single" w:color="auto" w:sz="4" w:space="0"/>
              <w:lef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lang w:val="zh-CN"/>
              </w:rPr>
              <w:t>评价所有涉及本项目配送服务的各方面方案，如货源、采购渠道、供货保障、品质监控、日常管理组织、物流配送</w:t>
            </w:r>
            <w:r>
              <w:rPr>
                <w:rFonts w:hint="eastAsia" w:ascii="宋体" w:hAnsi="宋体" w:eastAsia="宋体" w:cs="宋体"/>
                <w:bCs/>
                <w:sz w:val="21"/>
                <w:szCs w:val="21"/>
              </w:rPr>
              <w:t>方案</w:t>
            </w:r>
            <w:r>
              <w:rPr>
                <w:rFonts w:hint="eastAsia" w:ascii="宋体" w:hAnsi="宋体" w:eastAsia="宋体" w:cs="宋体"/>
                <w:bCs/>
                <w:sz w:val="21"/>
                <w:szCs w:val="21"/>
                <w:lang w:val="zh-CN"/>
              </w:rPr>
              <w:t>等（</w:t>
            </w:r>
            <w:r>
              <w:rPr>
                <w:rFonts w:hint="eastAsia" w:ascii="宋体" w:hAnsi="宋体" w:eastAsia="宋体" w:cs="宋体"/>
                <w:bCs/>
                <w:sz w:val="21"/>
                <w:szCs w:val="21"/>
              </w:rPr>
              <w:t>包括但不限于</w:t>
            </w:r>
            <w:r>
              <w:rPr>
                <w:rFonts w:hint="eastAsia" w:ascii="宋体" w:hAnsi="宋体" w:eastAsia="宋体" w:cs="宋体"/>
                <w:bCs/>
                <w:sz w:val="21"/>
                <w:szCs w:val="21"/>
                <w:lang w:val="zh-CN"/>
              </w:rPr>
              <w:t>），</w:t>
            </w:r>
            <w:r>
              <w:rPr>
                <w:rFonts w:hint="eastAsia" w:ascii="宋体" w:hAnsi="宋体" w:eastAsia="宋体" w:cs="宋体"/>
                <w:bCs/>
                <w:sz w:val="21"/>
                <w:szCs w:val="21"/>
              </w:rPr>
              <w:t>评委横向比较：配送方案考虑周全</w:t>
            </w:r>
            <w:r>
              <w:rPr>
                <w:rFonts w:hint="eastAsia" w:ascii="宋体" w:hAnsi="宋体" w:eastAsia="宋体" w:cs="宋体"/>
                <w:bCs/>
                <w:sz w:val="21"/>
                <w:szCs w:val="21"/>
                <w:lang w:eastAsia="zh-CN"/>
              </w:rPr>
              <w:t>计</w:t>
            </w:r>
            <w:r>
              <w:rPr>
                <w:rFonts w:hint="eastAsia" w:ascii="宋体" w:hAnsi="宋体" w:eastAsia="宋体" w:cs="宋体"/>
                <w:bCs/>
                <w:sz w:val="21"/>
                <w:szCs w:val="21"/>
                <w:lang w:val="en-US" w:eastAsia="zh-CN"/>
              </w:rPr>
              <w:t>3</w:t>
            </w:r>
            <w:r>
              <w:rPr>
                <w:rFonts w:hint="eastAsia" w:ascii="宋体" w:hAnsi="宋体" w:eastAsia="宋体" w:cs="宋体"/>
                <w:bCs/>
                <w:sz w:val="21"/>
                <w:szCs w:val="21"/>
              </w:rPr>
              <w:t>0分；每存在一处缺漏或不完整扣</w:t>
            </w:r>
            <w:r>
              <w:rPr>
                <w:rFonts w:hint="eastAsia" w:ascii="宋体" w:hAnsi="宋体" w:eastAsia="宋体" w:cs="宋体"/>
                <w:bCs/>
                <w:sz w:val="21"/>
                <w:szCs w:val="21"/>
                <w:lang w:val="en-US" w:eastAsia="zh-CN"/>
              </w:rPr>
              <w:t>3</w:t>
            </w:r>
            <w:r>
              <w:rPr>
                <w:rFonts w:hint="eastAsia" w:ascii="宋体" w:hAnsi="宋体" w:eastAsia="宋体" w:cs="宋体"/>
                <w:bCs/>
                <w:sz w:val="21"/>
                <w:szCs w:val="21"/>
              </w:rPr>
              <w:t>分，扣完为止</w:t>
            </w:r>
            <w:r>
              <w:rPr>
                <w:rFonts w:hint="eastAsia" w:ascii="宋体" w:hAnsi="宋体" w:eastAsia="宋体" w:cs="宋体"/>
                <w:bCs/>
                <w:sz w:val="21"/>
                <w:szCs w:val="21"/>
                <w:lang w:eastAsia="zh-CN"/>
              </w:rPr>
              <w:t>，</w:t>
            </w:r>
            <w:r>
              <w:rPr>
                <w:rFonts w:hint="eastAsia" w:ascii="宋体" w:hAnsi="宋体" w:eastAsia="宋体" w:cs="宋体"/>
                <w:bCs/>
                <w:sz w:val="21"/>
                <w:szCs w:val="21"/>
              </w:rPr>
              <w:t>无</w:t>
            </w:r>
            <w:r>
              <w:rPr>
                <w:rFonts w:hint="eastAsia" w:ascii="宋体" w:hAnsi="宋体" w:eastAsia="宋体" w:cs="宋体"/>
                <w:bCs/>
                <w:sz w:val="21"/>
                <w:szCs w:val="21"/>
                <w:lang w:eastAsia="zh-CN"/>
              </w:rPr>
              <w:t>配送</w:t>
            </w:r>
            <w:r>
              <w:rPr>
                <w:rFonts w:hint="eastAsia" w:ascii="宋体" w:hAnsi="宋体" w:eastAsia="宋体" w:cs="宋体"/>
                <w:bCs/>
                <w:sz w:val="21"/>
                <w:szCs w:val="21"/>
              </w:rPr>
              <w:t>方案</w:t>
            </w:r>
            <w:r>
              <w:rPr>
                <w:rFonts w:hint="eastAsia" w:ascii="宋体" w:hAnsi="宋体" w:eastAsia="宋体" w:cs="宋体"/>
                <w:bCs/>
                <w:sz w:val="21"/>
                <w:szCs w:val="21"/>
                <w:lang w:eastAsia="zh-CN"/>
              </w:rPr>
              <w:t>不计分</w:t>
            </w:r>
            <w:r>
              <w:rPr>
                <w:rFonts w:hint="eastAsia" w:ascii="宋体" w:hAnsi="宋体" w:eastAsia="宋体" w:cs="宋体"/>
                <w:bCs/>
                <w:sz w:val="21"/>
                <w:szCs w:val="21"/>
              </w:rPr>
              <w:t>。</w:t>
            </w: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vMerge w:val="continue"/>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39" w:hRule="atLeast"/>
        </w:trPr>
        <w:tc>
          <w:tcPr>
            <w:tcW w:w="103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Cs/>
                <w:sz w:val="21"/>
                <w:szCs w:val="21"/>
                <w:lang w:val="en-US" w:eastAsia="zh-CN"/>
              </w:rPr>
            </w:pPr>
            <w:r>
              <w:rPr>
                <w:rFonts w:hint="eastAsia" w:ascii="宋体" w:hAnsi="宋体" w:cs="宋体"/>
                <w:bCs/>
                <w:sz w:val="21"/>
                <w:szCs w:val="21"/>
                <w:lang w:val="en-US" w:eastAsia="zh-CN"/>
              </w:rPr>
              <w:t>4</w:t>
            </w:r>
          </w:p>
        </w:tc>
        <w:tc>
          <w:tcPr>
            <w:tcW w:w="1427" w:type="dxa"/>
            <w:tcBorders>
              <w:top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cs="宋体"/>
                <w:bCs/>
                <w:sz w:val="21"/>
                <w:szCs w:val="21"/>
                <w:lang w:eastAsia="zh-CN"/>
              </w:rPr>
            </w:pPr>
            <w:r>
              <w:rPr>
                <w:rFonts w:hint="eastAsia" w:ascii="宋体" w:hAnsi="宋体" w:cs="宋体"/>
                <w:bCs/>
                <w:sz w:val="21"/>
                <w:szCs w:val="21"/>
                <w:lang w:eastAsia="zh-CN"/>
              </w:rPr>
              <w:t>售后服务</w:t>
            </w:r>
          </w:p>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cs="宋体"/>
                <w:bCs/>
                <w:sz w:val="21"/>
                <w:szCs w:val="21"/>
                <w:lang w:eastAsia="zh-CN"/>
              </w:rPr>
            </w:pPr>
            <w:r>
              <w:rPr>
                <w:rFonts w:hint="eastAsia" w:ascii="宋体" w:hAnsi="宋体" w:cs="宋体"/>
                <w:bCs/>
                <w:sz w:val="21"/>
                <w:szCs w:val="21"/>
                <w:lang w:eastAsia="zh-CN"/>
              </w:rPr>
              <w:t>方案</w:t>
            </w:r>
          </w:p>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Cs/>
                <w:sz w:val="21"/>
                <w:szCs w:val="21"/>
                <w:lang w:val="en-US"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10）</w:t>
            </w:r>
          </w:p>
        </w:tc>
        <w:tc>
          <w:tcPr>
            <w:tcW w:w="4091" w:type="dxa"/>
            <w:tcBorders>
              <w:top w:val="single" w:color="auto" w:sz="4" w:space="0"/>
              <w:left w:val="single" w:color="auto" w:sz="4" w:space="0"/>
            </w:tcBorders>
            <w:noWrap w:val="0"/>
            <w:vAlign w:val="center"/>
          </w:tcPr>
          <w:p>
            <w:pPr>
              <w:pStyle w:val="114"/>
              <w:jc w:val="both"/>
              <w:rPr>
                <w:rStyle w:val="44"/>
                <w:rFonts w:ascii="宋体" w:hAnsi="宋体" w:eastAsia="宋体" w:cs="宋体"/>
                <w:b w:val="0"/>
                <w:sz w:val="21"/>
                <w:szCs w:val="24"/>
              </w:rPr>
            </w:pPr>
            <w:r>
              <w:rPr>
                <w:rStyle w:val="44"/>
                <w:rFonts w:ascii="宋体" w:hAnsi="宋体" w:eastAsia="宋体" w:cs="宋体"/>
                <w:b w:val="0"/>
                <w:sz w:val="21"/>
                <w:szCs w:val="24"/>
              </w:rPr>
              <w:t>根据售后服务计划，对售后方案、保证措施、服务承诺等情况进行比较后综合评分。完整、科学的，计</w:t>
            </w:r>
            <w:r>
              <w:rPr>
                <w:rStyle w:val="44"/>
                <w:rFonts w:hint="eastAsia" w:ascii="宋体" w:hAnsi="宋体" w:eastAsia="宋体" w:cs="宋体"/>
                <w:b w:val="0"/>
                <w:sz w:val="21"/>
                <w:szCs w:val="24"/>
                <w:lang w:val="en-US" w:eastAsia="zh-CN"/>
              </w:rPr>
              <w:t>10</w:t>
            </w:r>
            <w:r>
              <w:rPr>
                <w:rStyle w:val="44"/>
                <w:rFonts w:ascii="宋体" w:hAnsi="宋体" w:eastAsia="宋体" w:cs="宋体"/>
                <w:b w:val="0"/>
                <w:sz w:val="21"/>
                <w:szCs w:val="24"/>
              </w:rPr>
              <w:t>分。缺漏项、欠合理的每处扣</w:t>
            </w:r>
            <w:r>
              <w:rPr>
                <w:rStyle w:val="44"/>
                <w:rFonts w:hint="eastAsia" w:ascii="宋体" w:hAnsi="宋体" w:eastAsia="宋体" w:cs="宋体"/>
                <w:b w:val="0"/>
                <w:sz w:val="21"/>
                <w:szCs w:val="24"/>
                <w:lang w:val="en-US" w:eastAsia="zh-CN"/>
              </w:rPr>
              <w:t>1</w:t>
            </w:r>
            <w:r>
              <w:rPr>
                <w:rStyle w:val="44"/>
                <w:rFonts w:ascii="宋体" w:hAnsi="宋体" w:eastAsia="宋体" w:cs="宋体"/>
                <w:b w:val="0"/>
                <w:sz w:val="21"/>
                <w:szCs w:val="24"/>
              </w:rPr>
              <w:t>分，扣完为止。</w:t>
            </w:r>
          </w:p>
          <w:p>
            <w:pPr>
              <w:keepNext w:val="0"/>
              <w:keepLines w:val="0"/>
              <w:pageBreakBefore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Cs/>
                <w:sz w:val="21"/>
                <w:szCs w:val="21"/>
                <w:lang w:val="zh-CN"/>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trPr>
        <w:tc>
          <w:tcPr>
            <w:tcW w:w="2466"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ind w:firstLine="420" w:firstLineChars="200"/>
              <w:jc w:val="left"/>
              <w:textAlignment w:val="auto"/>
              <w:rPr>
                <w:rFonts w:hint="eastAsia" w:ascii="宋体" w:hAnsi="宋体" w:eastAsia="宋体" w:cs="宋体"/>
                <w:bCs/>
                <w:sz w:val="21"/>
                <w:szCs w:val="21"/>
              </w:rPr>
            </w:pPr>
            <w:r>
              <w:rPr>
                <w:rFonts w:hint="eastAsia" w:ascii="宋体" w:hAnsi="宋体" w:eastAsia="宋体" w:cs="宋体"/>
                <w:bCs/>
                <w:sz w:val="21"/>
                <w:szCs w:val="21"/>
              </w:rPr>
              <w:t>技术得分</w:t>
            </w:r>
          </w:p>
        </w:tc>
        <w:tc>
          <w:tcPr>
            <w:tcW w:w="4091"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ind w:firstLine="420" w:firstLineChars="200"/>
              <w:jc w:val="left"/>
              <w:textAlignment w:val="auto"/>
              <w:rPr>
                <w:rFonts w:hint="eastAsia" w:ascii="宋体" w:hAnsi="宋体" w:eastAsia="宋体" w:cs="宋体"/>
                <w:bCs/>
                <w:sz w:val="21"/>
                <w:szCs w:val="21"/>
              </w:rPr>
            </w:pPr>
            <w:r>
              <w:rPr>
                <w:rFonts w:hint="eastAsia" w:ascii="宋体" w:hAnsi="宋体" w:eastAsia="宋体" w:cs="宋体"/>
                <w:bCs/>
                <w:sz w:val="21"/>
                <w:szCs w:val="21"/>
              </w:rPr>
              <w:t>100分</w:t>
            </w:r>
          </w:p>
        </w:tc>
        <w:tc>
          <w:tcPr>
            <w:tcW w:w="832" w:type="dxa"/>
            <w:noWrap w:val="0"/>
            <w:vAlign w:val="center"/>
          </w:tcPr>
          <w:p>
            <w:pPr>
              <w:keepNext w:val="0"/>
              <w:keepLines w:val="0"/>
              <w:pageBreakBefore w:val="0"/>
              <w:widowControl/>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lang w:bidi="mr-IN"/>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5" w:hRule="atLeast"/>
        </w:trPr>
        <w:tc>
          <w:tcPr>
            <w:tcW w:w="6557" w:type="dxa"/>
            <w:gridSpan w:val="3"/>
            <w:tcBorders>
              <w:bottom w:val="single" w:color="auto" w:sz="12"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ind w:firstLine="420" w:firstLineChars="200"/>
              <w:jc w:val="left"/>
              <w:textAlignment w:val="auto"/>
              <w:rPr>
                <w:rFonts w:hint="eastAsia" w:ascii="宋体" w:hAnsi="宋体" w:eastAsia="宋体" w:cs="宋体"/>
                <w:bCs/>
                <w:sz w:val="21"/>
                <w:szCs w:val="21"/>
              </w:rPr>
            </w:pPr>
            <w:r>
              <w:rPr>
                <w:rFonts w:hint="eastAsia" w:ascii="宋体" w:hAnsi="宋体" w:eastAsia="宋体" w:cs="宋体"/>
                <w:bCs/>
                <w:sz w:val="21"/>
                <w:szCs w:val="21"/>
              </w:rPr>
              <w:t xml:space="preserve">技术加权得分=商务得分*0.1 </w:t>
            </w:r>
          </w:p>
        </w:tc>
        <w:tc>
          <w:tcPr>
            <w:tcW w:w="832" w:type="dxa"/>
            <w:tcBorders>
              <w:bottom w:val="single" w:color="auto" w:sz="12" w:space="0"/>
            </w:tcBorders>
            <w:noWrap w:val="0"/>
            <w:vAlign w:val="center"/>
          </w:tcPr>
          <w:p>
            <w:pPr>
              <w:keepNext w:val="0"/>
              <w:keepLines w:val="0"/>
              <w:pageBreakBefore w:val="0"/>
              <w:widowControl/>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lang w:bidi="mr-IN"/>
              </w:rPr>
            </w:pPr>
          </w:p>
        </w:tc>
        <w:tc>
          <w:tcPr>
            <w:tcW w:w="832" w:type="dxa"/>
            <w:tcBorders>
              <w:bottom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2" w:type="dxa"/>
            <w:tcBorders>
              <w:bottom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c>
          <w:tcPr>
            <w:tcW w:w="834" w:type="dxa"/>
            <w:tcBorders>
              <w:bottom w:val="single" w:color="auto" w:sz="12" w:space="0"/>
            </w:tcBorders>
            <w:noWrap w:val="0"/>
            <w:vAlign w:val="center"/>
          </w:tcPr>
          <w:p>
            <w:pPr>
              <w:keepNext w:val="0"/>
              <w:keepLines w:val="0"/>
              <w:pageBreakBefore w:val="0"/>
              <w:kinsoku/>
              <w:wordWrap/>
              <w:overflowPunct/>
              <w:topLinePunct w:val="0"/>
              <w:autoSpaceDE/>
              <w:autoSpaceDN/>
              <w:bidi w:val="0"/>
              <w:spacing w:line="280" w:lineRule="exact"/>
              <w:jc w:val="both"/>
              <w:textAlignment w:val="auto"/>
              <w:rPr>
                <w:rFonts w:hint="eastAsia" w:ascii="宋体" w:hAnsi="宋体" w:eastAsia="宋体" w:cs="宋体"/>
                <w:color w:val="000000"/>
                <w:sz w:val="21"/>
                <w:szCs w:val="21"/>
              </w:rPr>
            </w:pPr>
          </w:p>
        </w:tc>
      </w:tr>
    </w:tbl>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widowControl/>
        <w:adjustRightInd w:val="0"/>
        <w:snapToGrid w:val="0"/>
        <w:spacing w:before="156" w:beforeLines="50" w:line="360" w:lineRule="auto"/>
        <w:ind w:firstLine="422" w:firstLineChars="200"/>
        <w:jc w:val="left"/>
        <w:rPr>
          <w:rFonts w:hint="eastAsia" w:asciiTheme="minorEastAsia" w:hAnsiTheme="minorEastAsia" w:eastAsiaTheme="minorEastAsia"/>
          <w:b/>
          <w:szCs w:val="21"/>
          <w:lang w:val="en-US" w:eastAsia="zh-CN"/>
        </w:rPr>
      </w:pPr>
    </w:p>
    <w:p>
      <w:pPr>
        <w:spacing w:line="240" w:lineRule="atLeast"/>
        <w:jc w:val="left"/>
        <w:rPr>
          <w:rFonts w:hint="eastAsia" w:ascii="仿宋" w:hAnsi="仿宋" w:eastAsia="仿宋" w:cs="Times New Roman"/>
          <w:b/>
          <w:bCs w:val="0"/>
          <w:color w:val="000000"/>
          <w:kern w:val="2"/>
          <w:sz w:val="24"/>
          <w:szCs w:val="24"/>
          <w:lang w:val="en-US" w:eastAsia="zh-CN" w:bidi="ar-SA"/>
        </w:rPr>
      </w:pPr>
    </w:p>
    <w:p>
      <w:pPr>
        <w:spacing w:line="240" w:lineRule="atLeast"/>
        <w:jc w:val="left"/>
        <w:rPr>
          <w:rFonts w:hint="eastAsia" w:ascii="宋体" w:hAnsi="宋体" w:eastAsia="宋体" w:cs="宋体"/>
          <w:color w:val="000000"/>
          <w:sz w:val="21"/>
          <w:szCs w:val="21"/>
        </w:rPr>
      </w:pPr>
      <w:r>
        <w:rPr>
          <w:rFonts w:hint="eastAsia" w:ascii="宋体" w:hAnsi="宋体" w:eastAsia="宋体" w:cs="宋体"/>
          <w:b/>
          <w:bCs w:val="0"/>
          <w:color w:val="000000"/>
          <w:kern w:val="2"/>
          <w:sz w:val="21"/>
          <w:szCs w:val="21"/>
          <w:lang w:val="en-US" w:eastAsia="zh-CN" w:bidi="ar-SA"/>
        </w:rPr>
        <w:t>（3）报价部分</w:t>
      </w:r>
    </w:p>
    <w:tbl>
      <w:tblPr>
        <w:tblStyle w:val="42"/>
        <w:tblW w:w="9178" w:type="dxa"/>
        <w:tblInd w:w="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5"/>
        <w:gridCol w:w="1040"/>
        <w:gridCol w:w="1875"/>
        <w:gridCol w:w="1768"/>
        <w:gridCol w:w="541"/>
        <w:gridCol w:w="1485"/>
        <w:gridCol w:w="15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895" w:type="dxa"/>
            <w:tcBorders>
              <w:top w:val="single" w:color="auto" w:sz="12" w:space="0"/>
            </w:tcBorders>
            <w:noWrap w:val="0"/>
            <w:vAlign w:val="center"/>
          </w:tcPr>
          <w:p>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5224" w:type="dxa"/>
            <w:gridSpan w:val="4"/>
            <w:tcBorders>
              <w:top w:val="single" w:color="auto" w:sz="12" w:space="0"/>
            </w:tcBorders>
            <w:noWrap w:val="0"/>
            <w:vAlign w:val="center"/>
          </w:tcPr>
          <w:p>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项目</w:t>
            </w:r>
          </w:p>
        </w:tc>
        <w:tc>
          <w:tcPr>
            <w:tcW w:w="1485" w:type="dxa"/>
            <w:tcBorders>
              <w:top w:val="single" w:color="auto" w:sz="12" w:space="0"/>
            </w:tcBorders>
            <w:noWrap w:val="0"/>
            <w:vAlign w:val="center"/>
          </w:tcPr>
          <w:p>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评分标准</w:t>
            </w:r>
          </w:p>
        </w:tc>
        <w:tc>
          <w:tcPr>
            <w:tcW w:w="1574" w:type="dxa"/>
            <w:tcBorders>
              <w:top w:val="single" w:color="auto" w:sz="12" w:space="0"/>
            </w:tcBorders>
            <w:noWrap w:val="0"/>
            <w:vAlign w:val="center"/>
          </w:tcPr>
          <w:p>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trPr>
        <w:tc>
          <w:tcPr>
            <w:tcW w:w="895"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24" w:type="dxa"/>
            <w:gridSpan w:val="4"/>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mc:AlternateContent>
                <mc:Choice Requires="wps">
                  <w:drawing>
                    <wp:anchor distT="0" distB="0" distL="114300" distR="114300" simplePos="0" relativeHeight="251664384" behindDoc="0" locked="0" layoutInCell="1" allowOverlap="1">
                      <wp:simplePos x="0" y="0"/>
                      <wp:positionH relativeFrom="column">
                        <wp:posOffset>21590</wp:posOffset>
                      </wp:positionH>
                      <wp:positionV relativeFrom="paragraph">
                        <wp:posOffset>189865</wp:posOffset>
                      </wp:positionV>
                      <wp:extent cx="1093470" cy="5715"/>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V="1">
                                <a:off x="0" y="0"/>
                                <a:ext cx="1093470" cy="571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1.7pt;margin-top:14.95pt;height:0.45pt;width:86.1pt;z-index:251664384;mso-width-relative:page;mso-height-relative:page;" filled="f" stroked="t" coordsize="21600,21600" o:gfxdata="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JmYJdQAAAAHAQAADwAAAAAAAAABACAAAAAiAAAAZHJzL2Rvd25yZXYueG1sUEsBAhQAFAAA&#10;AAgAh07iQEgUekHzAQAAxQMAAA4AAAAAAAAAAQAgAAAAIwEAAGRycy9lMm9Eb2MueG1sUEsFBgAA&#10;AAAGAAYAWQEAAIgFAAAAAA==&#10;">
                      <v:fill on="f" focussize="0,0"/>
                      <v:stroke color="#000000" joinstyle="round"/>
                      <v:imagedata o:title=""/>
                      <o:lock v:ext="edit" aspectratio="f"/>
                    </v:line>
                  </w:pict>
                </mc:Fallback>
              </mc:AlternateContent>
            </w:r>
            <w:r>
              <w:rPr>
                <w:rFonts w:hint="eastAsia" w:ascii="宋体" w:hAnsi="宋体" w:eastAsia="宋体" w:cs="宋体"/>
                <w:color w:val="000000"/>
                <w:sz w:val="21"/>
                <w:szCs w:val="21"/>
              </w:rPr>
              <w:t>投标报价—基准价</w:t>
            </w:r>
          </w:p>
          <w:p>
            <w:pP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基准价</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×100%&gt;0 </w:t>
            </w:r>
          </w:p>
        </w:tc>
        <w:tc>
          <w:tcPr>
            <w:tcW w:w="1485" w:type="dxa"/>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每</w:t>
            </w:r>
            <w:r>
              <w:rPr>
                <w:rFonts w:hint="eastAsia" w:ascii="宋体" w:hAnsi="宋体" w:eastAsia="宋体" w:cs="宋体"/>
                <w:color w:val="000000"/>
                <w:sz w:val="21"/>
                <w:szCs w:val="21"/>
                <w:lang w:eastAsia="zh-CN"/>
              </w:rPr>
              <w:t>高</w:t>
            </w:r>
            <w:r>
              <w:rPr>
                <w:rFonts w:hint="eastAsia" w:ascii="宋体" w:hAnsi="宋体" w:eastAsia="宋体" w:cs="宋体"/>
                <w:color w:val="000000"/>
                <w:sz w:val="21"/>
                <w:szCs w:val="21"/>
              </w:rPr>
              <w:t>1%减</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分</w:t>
            </w:r>
          </w:p>
        </w:tc>
        <w:tc>
          <w:tcPr>
            <w:tcW w:w="1574" w:type="dxa"/>
            <w:vMerge w:val="restart"/>
            <w:noWrap w:val="0"/>
            <w:vAlign w:val="center"/>
          </w:tcPr>
          <w:p>
            <w:pP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6" w:hRule="atLeast"/>
        </w:trPr>
        <w:tc>
          <w:tcPr>
            <w:tcW w:w="895"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5224" w:type="dxa"/>
            <w:gridSpan w:val="4"/>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投标报价=基准价</w:t>
            </w:r>
          </w:p>
        </w:tc>
        <w:tc>
          <w:tcPr>
            <w:tcW w:w="1485" w:type="dxa"/>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计100分</w:t>
            </w:r>
          </w:p>
        </w:tc>
        <w:tc>
          <w:tcPr>
            <w:tcW w:w="1574" w:type="dxa"/>
            <w:vMerge w:val="continue"/>
            <w:noWrap w:val="0"/>
            <w:vAlign w:val="center"/>
          </w:tcPr>
          <w:p>
            <w:pPr>
              <w:widowControl/>
              <w:jc w:val="left"/>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trPr>
        <w:tc>
          <w:tcPr>
            <w:tcW w:w="895"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24" w:type="dxa"/>
            <w:gridSpan w:val="4"/>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投标报价—基准价</w:t>
            </w:r>
          </w:p>
          <w:p>
            <w:pPr>
              <w:rPr>
                <w:rFonts w:hint="eastAsia" w:ascii="宋体" w:hAnsi="宋体" w:eastAsia="宋体" w:cs="宋体"/>
                <w:color w:val="000000"/>
                <w:sz w:val="21"/>
                <w:szCs w:val="21"/>
              </w:rPr>
            </w:pPr>
            <w:r>
              <w:rPr>
                <w:rFonts w:hint="eastAsia" w:ascii="宋体" w:hAnsi="宋体" w:eastAsia="宋体" w:cs="宋体"/>
                <w:color w:val="000000"/>
                <w:sz w:val="21"/>
                <w:szCs w:val="21"/>
              </w:rPr>
              <mc:AlternateContent>
                <mc:Choice Requires="wps">
                  <w:drawing>
                    <wp:anchor distT="0" distB="0" distL="114300" distR="114300" simplePos="0" relativeHeight="251663360" behindDoc="0" locked="0" layoutInCell="1" allowOverlap="1">
                      <wp:simplePos x="0" y="0"/>
                      <wp:positionH relativeFrom="column">
                        <wp:posOffset>69215</wp:posOffset>
                      </wp:positionH>
                      <wp:positionV relativeFrom="paragraph">
                        <wp:posOffset>3175</wp:posOffset>
                      </wp:positionV>
                      <wp:extent cx="969645" cy="381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969645" cy="381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5.45pt;margin-top:0.25pt;height:0.3pt;width:76.35pt;z-index:251663360;mso-width-relative:page;mso-height-relative:page;" filled="f" stroked="t" coordsize="21600,21600" o:gfxdata="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O26MTS&#10;AAAABQEAAA8AAAAAAAAAAQAgAAAAIgAAAGRycy9kb3ducmV2LnhtbFBLAQIUABQAAAAIAIdO4kAe&#10;2w7W7QEAALoDAAAOAAAAAAAAAAEAIAAAACEBAABkcnMvZTJvRG9jLnhtbFBLBQYAAAAABgAGAFkB&#10;AACABQAAAAA=&#10;">
                      <v:fill on="f" focussize="0,0"/>
                      <v:stroke color="#000000" joinstyle="round"/>
                      <v:imagedata o:title=""/>
                      <o:lock v:ext="edit" aspectratio="f"/>
                    </v:line>
                  </w:pict>
                </mc:Fallback>
              </mc:AlternateContent>
            </w:r>
            <w:r>
              <w:rPr>
                <w:rFonts w:hint="eastAsia" w:ascii="宋体" w:hAnsi="宋体" w:eastAsia="宋体" w:cs="宋体"/>
                <w:color w:val="000000"/>
                <w:sz w:val="21"/>
                <w:szCs w:val="21"/>
              </w:rPr>
              <w:t xml:space="preserve">      基准价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 ×100%&lt;0</w:t>
            </w:r>
          </w:p>
        </w:tc>
        <w:tc>
          <w:tcPr>
            <w:tcW w:w="1485" w:type="dxa"/>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每</w:t>
            </w:r>
            <w:r>
              <w:rPr>
                <w:rFonts w:hint="eastAsia" w:ascii="宋体" w:hAnsi="宋体" w:eastAsia="宋体" w:cs="宋体"/>
                <w:color w:val="000000"/>
                <w:sz w:val="21"/>
                <w:szCs w:val="21"/>
                <w:lang w:eastAsia="zh-CN"/>
              </w:rPr>
              <w:t>低</w:t>
            </w:r>
            <w:r>
              <w:rPr>
                <w:rFonts w:hint="eastAsia" w:ascii="宋体" w:hAnsi="宋体" w:eastAsia="宋体" w:cs="宋体"/>
                <w:color w:val="000000"/>
                <w:sz w:val="21"/>
                <w:szCs w:val="21"/>
              </w:rPr>
              <w:t>1%减</w:t>
            </w: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分</w:t>
            </w:r>
          </w:p>
        </w:tc>
        <w:tc>
          <w:tcPr>
            <w:tcW w:w="1574" w:type="dxa"/>
            <w:vMerge w:val="continue"/>
            <w:noWrap w:val="0"/>
            <w:vAlign w:val="center"/>
          </w:tcPr>
          <w:p>
            <w:pPr>
              <w:widowControl/>
              <w:jc w:val="left"/>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8" w:hRule="exact"/>
        </w:trPr>
        <w:tc>
          <w:tcPr>
            <w:tcW w:w="1935" w:type="dxa"/>
            <w:gridSpan w:val="2"/>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投标人</w:t>
            </w:r>
          </w:p>
        </w:tc>
        <w:tc>
          <w:tcPr>
            <w:tcW w:w="1875" w:type="dxa"/>
            <w:noWrap w:val="0"/>
            <w:vAlign w:val="center"/>
          </w:tcPr>
          <w:p>
            <w:pPr>
              <w:spacing w:line="200" w:lineRule="exact"/>
              <w:jc w:val="center"/>
              <w:rPr>
                <w:rFonts w:hint="eastAsia" w:ascii="宋体" w:hAnsi="宋体" w:eastAsia="宋体" w:cs="宋体"/>
                <w:color w:val="000000"/>
                <w:sz w:val="21"/>
                <w:szCs w:val="21"/>
              </w:rPr>
            </w:pPr>
          </w:p>
        </w:tc>
        <w:tc>
          <w:tcPr>
            <w:tcW w:w="1768" w:type="dxa"/>
            <w:tcBorders>
              <w:right w:val="single" w:color="auto" w:sz="4" w:space="0"/>
            </w:tcBorders>
            <w:noWrap w:val="0"/>
            <w:vAlign w:val="center"/>
          </w:tcPr>
          <w:p>
            <w:pPr>
              <w:spacing w:line="200" w:lineRule="exact"/>
              <w:jc w:val="center"/>
              <w:rPr>
                <w:rFonts w:hint="eastAsia" w:ascii="宋体" w:hAnsi="宋体" w:eastAsia="宋体" w:cs="宋体"/>
                <w:color w:val="000000"/>
                <w:sz w:val="21"/>
                <w:szCs w:val="21"/>
              </w:rPr>
            </w:pPr>
          </w:p>
        </w:tc>
        <w:tc>
          <w:tcPr>
            <w:tcW w:w="2026" w:type="dxa"/>
            <w:gridSpan w:val="2"/>
            <w:tcBorders>
              <w:left w:val="single" w:color="auto" w:sz="4" w:space="0"/>
            </w:tcBorders>
            <w:noWrap w:val="0"/>
            <w:vAlign w:val="center"/>
          </w:tcPr>
          <w:p>
            <w:pPr>
              <w:spacing w:line="200" w:lineRule="exact"/>
              <w:jc w:val="center"/>
              <w:rPr>
                <w:rFonts w:hint="eastAsia" w:ascii="宋体" w:hAnsi="宋体" w:eastAsia="宋体" w:cs="宋体"/>
                <w:color w:val="000000"/>
                <w:sz w:val="21"/>
                <w:szCs w:val="21"/>
              </w:rPr>
            </w:pPr>
          </w:p>
        </w:tc>
        <w:tc>
          <w:tcPr>
            <w:tcW w:w="1574" w:type="dxa"/>
            <w:noWrap w:val="0"/>
            <w:vAlign w:val="center"/>
          </w:tcPr>
          <w:p>
            <w:pPr>
              <w:spacing w:line="200" w:lineRule="exact"/>
              <w:jc w:val="cente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7" w:hRule="exact"/>
        </w:trPr>
        <w:tc>
          <w:tcPr>
            <w:tcW w:w="1935" w:type="dxa"/>
            <w:gridSpan w:val="2"/>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tc>
        <w:tc>
          <w:tcPr>
            <w:tcW w:w="1875" w:type="dxa"/>
            <w:noWrap w:val="0"/>
            <w:vAlign w:val="center"/>
          </w:tcPr>
          <w:p>
            <w:pPr>
              <w:rPr>
                <w:rFonts w:hint="eastAsia" w:ascii="宋体" w:hAnsi="宋体" w:eastAsia="宋体" w:cs="宋体"/>
                <w:color w:val="000000"/>
                <w:sz w:val="21"/>
                <w:szCs w:val="21"/>
              </w:rPr>
            </w:pPr>
          </w:p>
        </w:tc>
        <w:tc>
          <w:tcPr>
            <w:tcW w:w="1768" w:type="dxa"/>
            <w:tcBorders>
              <w:right w:val="single" w:color="auto" w:sz="4" w:space="0"/>
            </w:tcBorders>
            <w:noWrap w:val="0"/>
            <w:vAlign w:val="center"/>
          </w:tcPr>
          <w:p>
            <w:pPr>
              <w:rPr>
                <w:rFonts w:hint="eastAsia" w:ascii="宋体" w:hAnsi="宋体" w:eastAsia="宋体" w:cs="宋体"/>
                <w:color w:val="000000"/>
                <w:sz w:val="21"/>
                <w:szCs w:val="21"/>
              </w:rPr>
            </w:pPr>
          </w:p>
        </w:tc>
        <w:tc>
          <w:tcPr>
            <w:tcW w:w="2026" w:type="dxa"/>
            <w:gridSpan w:val="2"/>
            <w:tcBorders>
              <w:left w:val="single" w:color="auto" w:sz="4" w:space="0"/>
            </w:tcBorders>
            <w:noWrap w:val="0"/>
            <w:vAlign w:val="center"/>
          </w:tcPr>
          <w:p>
            <w:pPr>
              <w:rPr>
                <w:rFonts w:hint="eastAsia" w:ascii="宋体" w:hAnsi="宋体" w:eastAsia="宋体" w:cs="宋体"/>
                <w:color w:val="000000"/>
                <w:sz w:val="21"/>
                <w:szCs w:val="21"/>
              </w:rPr>
            </w:pPr>
          </w:p>
        </w:tc>
        <w:tc>
          <w:tcPr>
            <w:tcW w:w="1574" w:type="dxa"/>
            <w:noWrap w:val="0"/>
            <w:vAlign w:val="center"/>
          </w:tcPr>
          <w:p>
            <w:pP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7" w:hRule="exact"/>
        </w:trPr>
        <w:tc>
          <w:tcPr>
            <w:tcW w:w="1935" w:type="dxa"/>
            <w:gridSpan w:val="2"/>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基准价</w:t>
            </w:r>
          </w:p>
        </w:tc>
        <w:tc>
          <w:tcPr>
            <w:tcW w:w="7243" w:type="dxa"/>
            <w:gridSpan w:val="5"/>
            <w:noWrap w:val="0"/>
            <w:vAlign w:val="center"/>
          </w:tcPr>
          <w:p>
            <w:pP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7" w:hRule="exact"/>
        </w:trPr>
        <w:tc>
          <w:tcPr>
            <w:tcW w:w="1935" w:type="dxa"/>
            <w:gridSpan w:val="2"/>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X值</w:t>
            </w:r>
          </w:p>
        </w:tc>
        <w:tc>
          <w:tcPr>
            <w:tcW w:w="1875" w:type="dxa"/>
            <w:noWrap w:val="0"/>
            <w:vAlign w:val="center"/>
          </w:tcPr>
          <w:p>
            <w:pPr>
              <w:rPr>
                <w:rFonts w:hint="eastAsia" w:ascii="宋体" w:hAnsi="宋体" w:eastAsia="宋体" w:cs="宋体"/>
                <w:color w:val="000000"/>
                <w:sz w:val="21"/>
                <w:szCs w:val="21"/>
              </w:rPr>
            </w:pPr>
          </w:p>
        </w:tc>
        <w:tc>
          <w:tcPr>
            <w:tcW w:w="1768" w:type="dxa"/>
            <w:tcBorders>
              <w:right w:val="single" w:color="auto" w:sz="4" w:space="0"/>
            </w:tcBorders>
            <w:noWrap w:val="0"/>
            <w:vAlign w:val="center"/>
          </w:tcPr>
          <w:p>
            <w:pPr>
              <w:rPr>
                <w:rFonts w:hint="eastAsia" w:ascii="宋体" w:hAnsi="宋体" w:eastAsia="宋体" w:cs="宋体"/>
                <w:color w:val="000000"/>
                <w:sz w:val="21"/>
                <w:szCs w:val="21"/>
              </w:rPr>
            </w:pPr>
          </w:p>
        </w:tc>
        <w:tc>
          <w:tcPr>
            <w:tcW w:w="2026" w:type="dxa"/>
            <w:gridSpan w:val="2"/>
            <w:tcBorders>
              <w:left w:val="single" w:color="auto" w:sz="4" w:space="0"/>
            </w:tcBorders>
            <w:noWrap w:val="0"/>
            <w:vAlign w:val="center"/>
          </w:tcPr>
          <w:p>
            <w:pPr>
              <w:rPr>
                <w:rFonts w:hint="eastAsia" w:ascii="宋体" w:hAnsi="宋体" w:eastAsia="宋体" w:cs="宋体"/>
                <w:color w:val="000000"/>
                <w:sz w:val="21"/>
                <w:szCs w:val="21"/>
              </w:rPr>
            </w:pPr>
          </w:p>
        </w:tc>
        <w:tc>
          <w:tcPr>
            <w:tcW w:w="1574" w:type="dxa"/>
            <w:noWrap w:val="0"/>
            <w:vAlign w:val="center"/>
          </w:tcPr>
          <w:p>
            <w:pP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7" w:hRule="exact"/>
        </w:trPr>
        <w:tc>
          <w:tcPr>
            <w:tcW w:w="1935" w:type="dxa"/>
            <w:gridSpan w:val="2"/>
            <w:noWrap w:val="0"/>
            <w:vAlign w:val="center"/>
          </w:tcPr>
          <w:p>
            <w:pPr>
              <w:rPr>
                <w:rFonts w:hint="eastAsia" w:ascii="宋体" w:hAnsi="宋体" w:eastAsia="宋体" w:cs="宋体"/>
                <w:color w:val="000000"/>
                <w:sz w:val="21"/>
                <w:szCs w:val="21"/>
              </w:rPr>
            </w:pPr>
            <w:r>
              <w:rPr>
                <w:rFonts w:hint="eastAsia" w:ascii="宋体" w:hAnsi="宋体" w:eastAsia="宋体" w:cs="宋体"/>
                <w:color w:val="000000"/>
                <w:sz w:val="21"/>
                <w:szCs w:val="21"/>
              </w:rPr>
              <w:t>投标报价得分</w:t>
            </w:r>
          </w:p>
        </w:tc>
        <w:tc>
          <w:tcPr>
            <w:tcW w:w="1875" w:type="dxa"/>
            <w:noWrap w:val="0"/>
            <w:vAlign w:val="center"/>
          </w:tcPr>
          <w:p>
            <w:pPr>
              <w:rPr>
                <w:rFonts w:hint="eastAsia" w:ascii="宋体" w:hAnsi="宋体" w:eastAsia="宋体" w:cs="宋体"/>
                <w:color w:val="000000"/>
                <w:sz w:val="21"/>
                <w:szCs w:val="21"/>
              </w:rPr>
            </w:pPr>
          </w:p>
        </w:tc>
        <w:tc>
          <w:tcPr>
            <w:tcW w:w="1768" w:type="dxa"/>
            <w:tcBorders>
              <w:right w:val="single" w:color="auto" w:sz="4" w:space="0"/>
            </w:tcBorders>
            <w:noWrap w:val="0"/>
            <w:vAlign w:val="center"/>
          </w:tcPr>
          <w:p>
            <w:pPr>
              <w:rPr>
                <w:rFonts w:hint="eastAsia" w:ascii="宋体" w:hAnsi="宋体" w:eastAsia="宋体" w:cs="宋体"/>
                <w:color w:val="000000"/>
                <w:sz w:val="21"/>
                <w:szCs w:val="21"/>
              </w:rPr>
            </w:pPr>
          </w:p>
        </w:tc>
        <w:tc>
          <w:tcPr>
            <w:tcW w:w="2026" w:type="dxa"/>
            <w:gridSpan w:val="2"/>
            <w:tcBorders>
              <w:left w:val="single" w:color="auto" w:sz="4" w:space="0"/>
            </w:tcBorders>
            <w:noWrap w:val="0"/>
            <w:vAlign w:val="center"/>
          </w:tcPr>
          <w:p>
            <w:pPr>
              <w:rPr>
                <w:rFonts w:hint="eastAsia" w:ascii="宋体" w:hAnsi="宋体" w:eastAsia="宋体" w:cs="宋体"/>
                <w:color w:val="000000"/>
                <w:sz w:val="21"/>
                <w:szCs w:val="21"/>
              </w:rPr>
            </w:pPr>
          </w:p>
        </w:tc>
        <w:tc>
          <w:tcPr>
            <w:tcW w:w="1574" w:type="dxa"/>
            <w:noWrap w:val="0"/>
            <w:vAlign w:val="center"/>
          </w:tcPr>
          <w:p>
            <w:pP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9178" w:type="dxa"/>
            <w:gridSpan w:val="7"/>
            <w:tcBorders>
              <w:bottom w:val="single" w:color="auto" w:sz="12"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对投标报价的调整记录：</w:t>
            </w:r>
          </w:p>
        </w:tc>
      </w:tr>
    </w:tbl>
    <w:p>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基准价= （A1+A2+A3+……An）/N</w:t>
      </w:r>
    </w:p>
    <w:p>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An，为进入算术平均的投标报价。N为进入算术平均的投标报价的个数。</w:t>
      </w:r>
    </w:p>
    <w:p>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说明：（1）投标报价得分最低为0分</w:t>
      </w:r>
    </w:p>
    <w:p>
      <w:pPr>
        <w:keepNext w:val="0"/>
        <w:keepLines w:val="0"/>
        <w:pageBreakBefore w:val="0"/>
        <w:widowControl w:val="0"/>
        <w:kinsoku/>
        <w:wordWrap/>
        <w:overflowPunct/>
        <w:topLinePunct w:val="0"/>
        <w:autoSpaceDE/>
        <w:autoSpaceDN/>
        <w:bidi w:val="0"/>
        <w:adjustRightInd w:val="0"/>
        <w:snapToGrid w:val="0"/>
        <w:spacing w:line="480" w:lineRule="auto"/>
        <w:ind w:firstLine="630" w:firstLineChars="3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（2）x=</w:t>
      </w:r>
      <w:r>
        <w:rPr>
          <w:rFonts w:hint="eastAsia" w:ascii="宋体" w:hAnsi="宋体" w:eastAsia="宋体" w:cs="宋体"/>
          <w:color w:val="000000"/>
          <w:position w:val="-26"/>
          <w:sz w:val="18"/>
          <w:szCs w:val="18"/>
        </w:rPr>
        <w:object>
          <v:shape id="_x0000_i1025" o:spt="75" type="#_x0000_t75" style="height:29.05pt;width:128.35pt;" o:ole="t" filled="f" o:preferrelative="t" stroked="f" coordsize="21600,21600">
            <v:path/>
            <v:fill on="f" focussize="0,0"/>
            <v:stroke on="f"/>
            <v:imagedata r:id="rId27" o:title=""/>
            <o:lock v:ext="edit" aspectratio="t"/>
            <w10:wrap type="none"/>
            <w10:anchorlock/>
          </v:shape>
          <o:OLEObject Type="Embed" ProgID="Equation.3" ShapeID="_x0000_i1025" DrawAspect="Content" ObjectID="_1468075725" r:id="rId26">
            <o:LockedField>false</o:LockedField>
          </o:OLEObject>
        </w:objec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（3）投标报价评分结果＝投标报价得分×0.3   </w: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（4）当最低投标报价≤0.9×次低投标报价时,则最低投标报价不进入基准价计算，当投标报价的最高价≥1.1×投标报价的次高价的，该最高价不参与计算基准价计算。</w: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（5）计算判断投标报价是否为进入计算加权算术平均的投标报价时，保留2位小数；评分计算保留2位小数（百分比亦取2位小数），第三位小数四舍五入。</w: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本项目投标报价由四部分组成，其中预包装食品类占价格权值的42%，果蔬类占价格权值的35%，家禽、水海产品类占价格权值的13%，家畜类占价格权值的10%，每项报价分别计分，最终以四部分的报价总分作为投标报价分。</w: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default"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(7)本项目按优惠率进行报价，计算报价分时的投标报价为:1-优惠率。</w:t>
      </w:r>
    </w:p>
    <w:p>
      <w:pPr>
        <w:keepNext w:val="0"/>
        <w:keepLines w:val="0"/>
        <w:pageBreakBefore w:val="0"/>
        <w:widowControl/>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bCs/>
          <w:color w:val="000000"/>
          <w:kern w:val="0"/>
          <w:sz w:val="21"/>
          <w:szCs w:val="21"/>
          <w:lang w:val="en-US"/>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w:t>
      </w:r>
      <w:r>
        <w:rPr>
          <w:rFonts w:hint="eastAsia" w:ascii="宋体" w:hAnsi="宋体" w:eastAsia="宋体" w:cs="宋体"/>
          <w:b/>
          <w:bCs w:val="0"/>
          <w:color w:val="000000"/>
          <w:kern w:val="2"/>
          <w:sz w:val="21"/>
          <w:szCs w:val="21"/>
          <w:lang w:val="en-US" w:eastAsia="zh-CN" w:bidi="ar-SA"/>
        </w:rPr>
        <w:t>报价部分汇总表</w:t>
      </w:r>
    </w:p>
    <w:tbl>
      <w:tblPr>
        <w:tblStyle w:val="42"/>
        <w:tblW w:w="90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83"/>
        <w:gridCol w:w="2336"/>
        <w:gridCol w:w="2850"/>
        <w:gridCol w:w="24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 w:hRule="exact"/>
        </w:trPr>
        <w:tc>
          <w:tcPr>
            <w:tcW w:w="1483" w:type="dxa"/>
            <w:vMerge w:val="restart"/>
            <w:tcBorders>
              <w:top w:val="single" w:color="auto" w:sz="12" w:space="0"/>
              <w:bottom w:val="single" w:color="auto" w:sz="6" w:space="0"/>
              <w:right w:val="single" w:color="auto" w:sz="6" w:space="0"/>
            </w:tcBorders>
            <w:noWrap w:val="0"/>
            <w:vAlign w:val="center"/>
          </w:tcPr>
          <w:p>
            <w:pPr>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品目</w:t>
            </w:r>
          </w:p>
        </w:tc>
        <w:tc>
          <w:tcPr>
            <w:tcW w:w="7596" w:type="dxa"/>
            <w:gridSpan w:val="3"/>
            <w:tcBorders>
              <w:top w:val="single" w:color="auto" w:sz="12" w:space="0"/>
              <w:left w:val="single" w:color="auto" w:sz="6" w:space="0"/>
              <w:bottom w:val="single" w:color="auto" w:sz="6" w:space="0"/>
            </w:tcBorders>
            <w:noWrap w:val="0"/>
            <w:vAlign w:val="center"/>
          </w:tcPr>
          <w:p>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投标人得分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0" w:hRule="atLeast"/>
        </w:trPr>
        <w:tc>
          <w:tcPr>
            <w:tcW w:w="1483" w:type="dxa"/>
            <w:vMerge w:val="continue"/>
            <w:tcBorders>
              <w:top w:val="single" w:color="auto" w:sz="6" w:space="0"/>
              <w:bottom w:val="single" w:color="auto" w:sz="6" w:space="0"/>
              <w:right w:val="single" w:color="auto" w:sz="6" w:space="0"/>
            </w:tcBorders>
            <w:noWrap w:val="0"/>
            <w:vAlign w:val="center"/>
          </w:tcPr>
          <w:p>
            <w:pPr>
              <w:widowControl/>
              <w:jc w:val="left"/>
              <w:rPr>
                <w:rFonts w:hint="eastAsia" w:ascii="宋体" w:hAnsi="宋体" w:eastAsia="宋体" w:cs="宋体"/>
                <w:color w:val="000000"/>
                <w:sz w:val="21"/>
                <w:szCs w:val="21"/>
              </w:rPr>
            </w:pPr>
          </w:p>
        </w:tc>
        <w:tc>
          <w:tcPr>
            <w:tcW w:w="2336"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得分</w:t>
            </w:r>
          </w:p>
        </w:tc>
        <w:tc>
          <w:tcPr>
            <w:tcW w:w="2850"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占比权值</w:t>
            </w:r>
          </w:p>
        </w:tc>
        <w:tc>
          <w:tcPr>
            <w:tcW w:w="2410" w:type="dxa"/>
            <w:tcBorders>
              <w:top w:val="single" w:color="auto" w:sz="6" w:space="0"/>
              <w:left w:val="single" w:color="auto" w:sz="6" w:space="0"/>
              <w:bottom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0" w:hRule="atLeast"/>
        </w:trPr>
        <w:tc>
          <w:tcPr>
            <w:tcW w:w="1483" w:type="dxa"/>
            <w:tcBorders>
              <w:top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highlight w:val="yellow"/>
                <w:lang w:eastAsia="zh-CN"/>
              </w:rPr>
            </w:pPr>
            <w:r>
              <w:rPr>
                <w:rFonts w:hint="eastAsia" w:ascii="宋体" w:hAnsi="宋体" w:eastAsia="宋体" w:cs="宋体"/>
                <w:sz w:val="21"/>
                <w:szCs w:val="21"/>
                <w:lang w:val="en-US" w:eastAsia="zh-CN"/>
              </w:rPr>
              <w:t>一</w:t>
            </w:r>
          </w:p>
        </w:tc>
        <w:tc>
          <w:tcPr>
            <w:tcW w:w="2336"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85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lang w:val="en-US" w:eastAsia="zh-CN"/>
              </w:rPr>
              <w:t>42%</w:t>
            </w:r>
          </w:p>
        </w:tc>
        <w:tc>
          <w:tcPr>
            <w:tcW w:w="2410" w:type="dxa"/>
            <w:tcBorders>
              <w:top w:val="single" w:color="auto" w:sz="6" w:space="0"/>
              <w:left w:val="single" w:color="auto" w:sz="6" w:space="0"/>
              <w:bottom w:val="single" w:color="auto" w:sz="6" w:space="0"/>
            </w:tcBorders>
            <w:noWrap w:val="0"/>
            <w:vAlign w:val="center"/>
          </w:tcPr>
          <w:p>
            <w:pPr>
              <w:jc w:val="cente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0" w:hRule="atLeast"/>
        </w:trPr>
        <w:tc>
          <w:tcPr>
            <w:tcW w:w="1483" w:type="dxa"/>
            <w:tcBorders>
              <w:top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highlight w:val="yellow"/>
                <w:lang w:eastAsia="zh-CN"/>
              </w:rPr>
            </w:pPr>
            <w:r>
              <w:rPr>
                <w:rFonts w:hint="eastAsia" w:ascii="宋体" w:hAnsi="宋体" w:eastAsia="宋体" w:cs="宋体"/>
                <w:sz w:val="21"/>
                <w:szCs w:val="21"/>
                <w:lang w:val="en-US" w:eastAsia="zh-CN"/>
              </w:rPr>
              <w:t>二</w:t>
            </w:r>
          </w:p>
        </w:tc>
        <w:tc>
          <w:tcPr>
            <w:tcW w:w="2336"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85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35%</w:t>
            </w:r>
          </w:p>
        </w:tc>
        <w:tc>
          <w:tcPr>
            <w:tcW w:w="2410" w:type="dxa"/>
            <w:tcBorders>
              <w:top w:val="single" w:color="auto" w:sz="6" w:space="0"/>
              <w:left w:val="single" w:color="auto" w:sz="6" w:space="0"/>
              <w:bottom w:val="single" w:color="auto" w:sz="6" w:space="0"/>
            </w:tcBorders>
            <w:noWrap w:val="0"/>
            <w:vAlign w:val="center"/>
          </w:tcPr>
          <w:p>
            <w:pPr>
              <w:jc w:val="cente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0" w:hRule="atLeast"/>
        </w:trPr>
        <w:tc>
          <w:tcPr>
            <w:tcW w:w="1483" w:type="dxa"/>
            <w:tcBorders>
              <w:top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highlight w:val="yellow"/>
                <w:lang w:eastAsia="zh-CN"/>
              </w:rPr>
            </w:pPr>
            <w:r>
              <w:rPr>
                <w:rFonts w:hint="eastAsia" w:ascii="宋体" w:hAnsi="宋体" w:eastAsia="宋体" w:cs="宋体"/>
                <w:sz w:val="21"/>
                <w:szCs w:val="21"/>
                <w:lang w:val="en-US" w:eastAsia="zh-CN"/>
              </w:rPr>
              <w:t>三</w:t>
            </w:r>
          </w:p>
        </w:tc>
        <w:tc>
          <w:tcPr>
            <w:tcW w:w="2336"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850"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13%</w:t>
            </w:r>
          </w:p>
        </w:tc>
        <w:tc>
          <w:tcPr>
            <w:tcW w:w="2410" w:type="dxa"/>
            <w:tcBorders>
              <w:top w:val="single" w:color="auto" w:sz="6" w:space="0"/>
              <w:left w:val="single" w:color="auto" w:sz="6" w:space="0"/>
              <w:bottom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0" w:hRule="atLeast"/>
        </w:trPr>
        <w:tc>
          <w:tcPr>
            <w:tcW w:w="1483" w:type="dxa"/>
            <w:tcBorders>
              <w:top w:val="single" w:color="auto" w:sz="6" w:space="0"/>
              <w:bottom w:val="single" w:color="auto" w:sz="6" w:space="0"/>
              <w:right w:val="single" w:color="auto" w:sz="6" w:space="0"/>
            </w:tcBorders>
            <w:noWrap w:val="0"/>
            <w:vAlign w:val="center"/>
          </w:tcPr>
          <w:p>
            <w:pPr>
              <w:jc w:val="center"/>
              <w:rPr>
                <w:rFonts w:hint="eastAsia" w:ascii="宋体" w:hAnsi="宋体" w:eastAsia="宋体" w:cs="宋体"/>
                <w:color w:val="000000"/>
                <w:sz w:val="21"/>
                <w:szCs w:val="21"/>
                <w:highlight w:val="yellow"/>
                <w:lang w:eastAsia="zh-CN"/>
              </w:rPr>
            </w:pPr>
            <w:r>
              <w:rPr>
                <w:rFonts w:hint="eastAsia" w:ascii="宋体" w:hAnsi="宋体" w:eastAsia="宋体" w:cs="宋体"/>
                <w:sz w:val="21"/>
                <w:szCs w:val="21"/>
                <w:lang w:val="en-US" w:eastAsia="zh-CN"/>
              </w:rPr>
              <w:t>四</w:t>
            </w:r>
          </w:p>
        </w:tc>
        <w:tc>
          <w:tcPr>
            <w:tcW w:w="2336"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850" w:type="dxa"/>
            <w:tcBorders>
              <w:top w:val="single" w:color="auto" w:sz="6" w:space="0"/>
              <w:left w:val="single" w:color="auto" w:sz="6" w:space="0"/>
              <w:bottom w:val="single" w:color="auto" w:sz="6"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10%</w:t>
            </w:r>
          </w:p>
        </w:tc>
        <w:tc>
          <w:tcPr>
            <w:tcW w:w="2410" w:type="dxa"/>
            <w:tcBorders>
              <w:top w:val="single" w:color="auto" w:sz="6" w:space="0"/>
              <w:left w:val="single" w:color="auto" w:sz="6" w:space="0"/>
              <w:bottom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1" w:hRule="atLeast"/>
        </w:trPr>
        <w:tc>
          <w:tcPr>
            <w:tcW w:w="6669" w:type="dxa"/>
            <w:gridSpan w:val="3"/>
            <w:tcBorders>
              <w:top w:val="single" w:color="auto" w:sz="6" w:space="0"/>
              <w:bottom w:val="single" w:color="auto" w:sz="12" w:space="0"/>
              <w:right w:val="single" w:color="auto" w:sz="6"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合计</w:t>
            </w:r>
          </w:p>
        </w:tc>
        <w:tc>
          <w:tcPr>
            <w:tcW w:w="2410" w:type="dxa"/>
            <w:tcBorders>
              <w:top w:val="single" w:color="auto" w:sz="6" w:space="0"/>
              <w:left w:val="single" w:color="auto" w:sz="6" w:space="0"/>
              <w:bottom w:val="single" w:color="auto" w:sz="12"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bl>
    <w:p>
      <w:pPr>
        <w:keepNext w:val="0"/>
        <w:keepLines w:val="0"/>
        <w:pageBreakBefore w:val="0"/>
        <w:widowControl/>
        <w:kinsoku/>
        <w:wordWrap/>
        <w:overflowPunct/>
        <w:topLinePunct w:val="0"/>
        <w:autoSpaceDE/>
        <w:autoSpaceDN/>
        <w:bidi w:val="0"/>
        <w:adjustRightInd/>
        <w:spacing w:line="400" w:lineRule="exact"/>
        <w:ind w:firstLine="600" w:firstLineChars="250"/>
        <w:textAlignment w:val="auto"/>
        <w:rPr>
          <w:rFonts w:hint="eastAsia" w:ascii="仿宋" w:hAnsi="仿宋" w:eastAsia="仿宋" w:cs="黑体"/>
          <w:bCs/>
          <w:color w:val="000000"/>
          <w:kern w:val="0"/>
          <w:sz w:val="24"/>
        </w:rPr>
      </w:pPr>
    </w:p>
    <w:p>
      <w:pPr>
        <w:keepNext w:val="0"/>
        <w:keepLines w:val="0"/>
        <w:pageBreakBefore w:val="0"/>
        <w:widowControl/>
        <w:kinsoku/>
        <w:wordWrap/>
        <w:overflowPunct/>
        <w:topLinePunct w:val="0"/>
        <w:autoSpaceDE/>
        <w:autoSpaceDN/>
        <w:bidi w:val="0"/>
        <w:adjustRightInd/>
        <w:spacing w:line="400" w:lineRule="exact"/>
        <w:ind w:firstLine="527" w:firstLineChars="250"/>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kern w:val="2"/>
          <w:sz w:val="21"/>
          <w:szCs w:val="21"/>
          <w:lang w:val="en-US" w:eastAsia="zh-CN" w:bidi="ar-SA"/>
        </w:rPr>
        <w:t>4、投标人综合得分汇总计算表</w:t>
      </w:r>
    </w:p>
    <w:tbl>
      <w:tblPr>
        <w:tblStyle w:val="42"/>
        <w:tblW w:w="93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1"/>
        <w:gridCol w:w="2616"/>
        <w:gridCol w:w="2616"/>
        <w:gridCol w:w="26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4" w:hRule="exact"/>
        </w:trPr>
        <w:tc>
          <w:tcPr>
            <w:tcW w:w="1531" w:type="dxa"/>
            <w:vMerge w:val="restart"/>
            <w:tcBorders>
              <w:top w:val="single" w:color="auto" w:sz="12" w:space="0"/>
            </w:tcBorders>
            <w:noWrap w:val="0"/>
            <w:vAlign w:val="center"/>
          </w:tcPr>
          <w:p>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评委编号</w:t>
            </w:r>
          </w:p>
        </w:tc>
        <w:tc>
          <w:tcPr>
            <w:tcW w:w="7848" w:type="dxa"/>
            <w:gridSpan w:val="3"/>
            <w:tcBorders>
              <w:top w:val="single" w:color="auto" w:sz="12" w:space="0"/>
            </w:tcBorders>
            <w:noWrap w:val="0"/>
            <w:vAlign w:val="center"/>
          </w:tcPr>
          <w:p>
            <w:pPr>
              <w:jc w:val="both"/>
              <w:rPr>
                <w:rFonts w:hint="eastAsia" w:ascii="宋体" w:hAnsi="宋体" w:eastAsia="宋体" w:cs="宋体"/>
                <w:b/>
                <w:bCs/>
                <w:color w:val="000000"/>
                <w:sz w:val="21"/>
                <w:szCs w:val="21"/>
              </w:rPr>
            </w:pPr>
            <w:r>
              <w:rPr>
                <w:rFonts w:hint="eastAsia" w:ascii="宋体" w:hAnsi="宋体" w:eastAsia="宋体" w:cs="宋体"/>
                <w:sz w:val="21"/>
                <w:szCs w:val="21"/>
              </w:rPr>
              <w:t>投标人（                               ）             总分（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vMerge w:val="continue"/>
            <w:noWrap w:val="0"/>
            <w:vAlign w:val="center"/>
          </w:tcPr>
          <w:p>
            <w:pPr>
              <w:widowControl/>
              <w:jc w:val="left"/>
              <w:rPr>
                <w:rFonts w:hint="eastAsia" w:ascii="宋体" w:hAnsi="宋体" w:eastAsia="宋体" w:cs="宋体"/>
                <w:color w:val="000000"/>
                <w:sz w:val="21"/>
                <w:szCs w:val="21"/>
              </w:rPr>
            </w:pPr>
          </w:p>
        </w:tc>
        <w:tc>
          <w:tcPr>
            <w:tcW w:w="2616" w:type="dxa"/>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商务部分</w:t>
            </w: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技术部分</w:t>
            </w:r>
          </w:p>
        </w:tc>
        <w:tc>
          <w:tcPr>
            <w:tcW w:w="2616" w:type="dxa"/>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报价部分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rPr>
            </w:pPr>
            <w:r>
              <w:rPr>
                <w:rFonts w:hint="eastAsia" w:ascii="宋体" w:hAnsi="宋体" w:eastAsia="宋体" w:cs="宋体"/>
                <w:sz w:val="21"/>
                <w:szCs w:val="21"/>
              </w:rPr>
              <w:t>1</w:t>
            </w:r>
          </w:p>
        </w:tc>
        <w:tc>
          <w:tcPr>
            <w:tcW w:w="2616" w:type="dxa"/>
            <w:vMerge w:val="restart"/>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jc w:val="center"/>
              <w:rPr>
                <w:rFonts w:hint="eastAsia" w:ascii="宋体" w:hAnsi="宋体" w:eastAsia="宋体" w:cs="宋体"/>
                <w:color w:val="000000"/>
                <w:sz w:val="21"/>
                <w:szCs w:val="21"/>
              </w:rPr>
            </w:pPr>
          </w:p>
        </w:tc>
        <w:tc>
          <w:tcPr>
            <w:tcW w:w="2616" w:type="dxa"/>
            <w:vMerge w:val="restart"/>
            <w:tcBorders>
              <w:left w:val="single" w:color="auto" w:sz="4" w:space="0"/>
            </w:tcBorders>
            <w:noWrap w:val="0"/>
            <w:vAlign w:val="center"/>
          </w:tcPr>
          <w:p>
            <w:pPr>
              <w:jc w:val="cente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rPr>
            </w:pPr>
            <w:r>
              <w:rPr>
                <w:rFonts w:hint="eastAsia" w:ascii="宋体" w:hAnsi="宋体" w:eastAsia="宋体" w:cs="宋体"/>
                <w:sz w:val="21"/>
                <w:szCs w:val="21"/>
              </w:rPr>
              <w:t>2</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jc w:val="center"/>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jc w:val="center"/>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rPr>
            </w:pPr>
            <w:r>
              <w:rPr>
                <w:rFonts w:hint="eastAsia" w:ascii="宋体" w:hAnsi="宋体" w:eastAsia="宋体" w:cs="宋体"/>
                <w:sz w:val="21"/>
                <w:szCs w:val="21"/>
              </w:rPr>
              <w:t>3</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rPr>
            </w:pPr>
            <w:r>
              <w:rPr>
                <w:rFonts w:hint="eastAsia" w:ascii="宋体" w:hAnsi="宋体" w:eastAsia="宋体" w:cs="宋体"/>
                <w:sz w:val="21"/>
                <w:szCs w:val="21"/>
              </w:rPr>
              <w:t>4</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bottom w:val="single" w:color="auto" w:sz="4" w:space="0"/>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rPr>
            </w:pPr>
            <w:r>
              <w:rPr>
                <w:rFonts w:hint="eastAsia" w:ascii="宋体" w:hAnsi="宋体" w:eastAsia="宋体" w:cs="宋体"/>
                <w:sz w:val="21"/>
                <w:szCs w:val="21"/>
              </w:rPr>
              <w:t>5</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highlight w:val="yellow"/>
                <w:lang w:eastAsia="zh-CN"/>
              </w:rPr>
            </w:pPr>
            <w:r>
              <w:rPr>
                <w:rFonts w:hint="eastAsia" w:ascii="宋体" w:hAnsi="宋体" w:eastAsia="宋体" w:cs="宋体"/>
                <w:sz w:val="21"/>
                <w:szCs w:val="21"/>
              </w:rPr>
              <w:t>合计</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sz w:val="21"/>
                <w:szCs w:val="21"/>
              </w:rPr>
              <w:t>平均</w:t>
            </w:r>
          </w:p>
        </w:tc>
        <w:tc>
          <w:tcPr>
            <w:tcW w:w="2616" w:type="dxa"/>
            <w:vMerge w:val="continue"/>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vMerge w:val="continue"/>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1531" w:type="dxa"/>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权值</w:t>
            </w:r>
          </w:p>
        </w:tc>
        <w:tc>
          <w:tcPr>
            <w:tcW w:w="2616" w:type="dxa"/>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0.60</w:t>
            </w:r>
          </w:p>
        </w:tc>
        <w:tc>
          <w:tcPr>
            <w:tcW w:w="2616" w:type="dxa"/>
            <w:tcBorders>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0.10</w:t>
            </w:r>
          </w:p>
        </w:tc>
        <w:tc>
          <w:tcPr>
            <w:tcW w:w="2616" w:type="dxa"/>
            <w:tcBorders>
              <w:lef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1531" w:type="dxa"/>
            <w:tcBorders>
              <w:bottom w:val="single" w:color="auto" w:sz="12" w:space="0"/>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得分</w:t>
            </w:r>
          </w:p>
        </w:tc>
        <w:tc>
          <w:tcPr>
            <w:tcW w:w="2616" w:type="dxa"/>
            <w:tcBorders>
              <w:bottom w:val="single" w:color="auto" w:sz="12"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bottom w:val="single" w:color="auto" w:sz="12" w:space="0"/>
              <w:right w:val="single" w:color="auto" w:sz="4"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c>
          <w:tcPr>
            <w:tcW w:w="2616" w:type="dxa"/>
            <w:tcBorders>
              <w:left w:val="single" w:color="auto" w:sz="4" w:space="0"/>
              <w:bottom w:val="single" w:color="auto" w:sz="12" w:space="0"/>
            </w:tcBorders>
            <w:noWrap w:val="0"/>
            <w:vAlign w:val="center"/>
          </w:tcPr>
          <w:p>
            <w:pPr>
              <w:pStyle w:val="28"/>
              <w:pBdr>
                <w:bottom w:val="none" w:color="auto" w:sz="0" w:space="0"/>
              </w:pBdr>
              <w:tabs>
                <w:tab w:val="clear" w:pos="4153"/>
                <w:tab w:val="clear" w:pos="8306"/>
              </w:tabs>
              <w:snapToGrid/>
              <w:rPr>
                <w:rFonts w:hint="eastAsia" w:ascii="宋体" w:hAnsi="宋体" w:eastAsia="宋体" w:cs="宋体"/>
                <w:color w:val="000000"/>
                <w:sz w:val="21"/>
                <w:szCs w:val="21"/>
              </w:rPr>
            </w:pPr>
          </w:p>
        </w:tc>
      </w:tr>
    </w:tbl>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ind w:left="0" w:leftChars="0" w:firstLine="0" w:firstLineChars="0"/>
        <w:rPr>
          <w:rFonts w:hint="eastAsia"/>
        </w:rPr>
      </w:pP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spacing w:line="400" w:lineRule="exact"/>
        <w:ind w:firstLine="527" w:firstLineChars="250"/>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kern w:val="2"/>
          <w:sz w:val="21"/>
          <w:szCs w:val="21"/>
          <w:lang w:val="en-US" w:eastAsia="zh-CN" w:bidi="ar-SA"/>
        </w:rPr>
        <w:t>5、经评审的投标人排序表</w:t>
      </w:r>
    </w:p>
    <w:tbl>
      <w:tblPr>
        <w:tblStyle w:val="42"/>
        <w:tblpPr w:leftFromText="180" w:rightFromText="180" w:vertAnchor="text" w:horzAnchor="page" w:tblpX="1180" w:tblpY="403"/>
        <w:tblOverlap w:val="never"/>
        <w:tblW w:w="10378"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786"/>
        <w:gridCol w:w="6871"/>
        <w:gridCol w:w="2721"/>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86" w:type="dxa"/>
            <w:tcBorders>
              <w:tl2br w:val="nil"/>
              <w:tr2bl w:val="nil"/>
            </w:tcBorders>
            <w:noWrap w:val="0"/>
            <w:vAlign w:val="center"/>
          </w:tcPr>
          <w:p>
            <w:pPr>
              <w:jc w:val="center"/>
              <w:rPr>
                <w:rFonts w:hint="eastAsia" w:ascii="宋体" w:hAnsi="宋体" w:cs="宋体"/>
                <w:sz w:val="21"/>
                <w:szCs w:val="21"/>
              </w:rPr>
            </w:pPr>
            <w:r>
              <w:rPr>
                <w:rFonts w:hint="eastAsia" w:ascii="宋体" w:hAnsi="宋体" w:cs="宋体"/>
                <w:sz w:val="21"/>
                <w:szCs w:val="21"/>
              </w:rPr>
              <w:t>排  序</w:t>
            </w:r>
          </w:p>
        </w:tc>
        <w:tc>
          <w:tcPr>
            <w:tcW w:w="6871" w:type="dxa"/>
            <w:tcBorders>
              <w:tl2br w:val="nil"/>
              <w:tr2bl w:val="nil"/>
            </w:tcBorders>
            <w:noWrap w:val="0"/>
            <w:vAlign w:val="center"/>
          </w:tcPr>
          <w:p>
            <w:pPr>
              <w:jc w:val="center"/>
              <w:rPr>
                <w:rFonts w:hint="eastAsia" w:ascii="宋体" w:hAnsi="宋体" w:cs="宋体"/>
                <w:sz w:val="21"/>
                <w:szCs w:val="21"/>
              </w:rPr>
            </w:pPr>
            <w:r>
              <w:rPr>
                <w:rFonts w:hint="eastAsia" w:ascii="宋体" w:hAnsi="宋体" w:cs="宋体"/>
                <w:sz w:val="21"/>
                <w:szCs w:val="21"/>
              </w:rPr>
              <w:t xml:space="preserve"> 投标人名称</w:t>
            </w:r>
          </w:p>
        </w:tc>
        <w:tc>
          <w:tcPr>
            <w:tcW w:w="2721" w:type="dxa"/>
            <w:tcBorders>
              <w:tl2br w:val="nil"/>
              <w:tr2bl w:val="nil"/>
            </w:tcBorders>
            <w:noWrap w:val="0"/>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总分</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86" w:type="dxa"/>
            <w:tcBorders>
              <w:tl2br w:val="nil"/>
              <w:tr2bl w:val="nil"/>
            </w:tcBorders>
            <w:noWrap w:val="0"/>
            <w:vAlign w:val="center"/>
          </w:tcPr>
          <w:p>
            <w:pPr>
              <w:jc w:val="center"/>
              <w:rPr>
                <w:rFonts w:hint="eastAsia" w:ascii="宋体" w:hAnsi="宋体" w:cs="宋体"/>
                <w:sz w:val="21"/>
                <w:szCs w:val="21"/>
              </w:rPr>
            </w:pPr>
          </w:p>
        </w:tc>
        <w:tc>
          <w:tcPr>
            <w:tcW w:w="6871" w:type="dxa"/>
            <w:tcBorders>
              <w:tl2br w:val="nil"/>
              <w:tr2bl w:val="nil"/>
            </w:tcBorders>
            <w:noWrap w:val="0"/>
            <w:vAlign w:val="center"/>
          </w:tcPr>
          <w:p>
            <w:pPr>
              <w:jc w:val="center"/>
              <w:rPr>
                <w:rFonts w:hint="eastAsia" w:ascii="宋体" w:hAnsi="宋体" w:cs="宋体"/>
                <w:sz w:val="21"/>
                <w:szCs w:val="21"/>
              </w:rPr>
            </w:pPr>
          </w:p>
        </w:tc>
        <w:tc>
          <w:tcPr>
            <w:tcW w:w="2721" w:type="dxa"/>
            <w:tcBorders>
              <w:tl2br w:val="nil"/>
              <w:tr2bl w:val="nil"/>
            </w:tcBorders>
            <w:noWrap w:val="0"/>
            <w:vAlign w:val="center"/>
          </w:tcPr>
          <w:p>
            <w:pPr>
              <w:jc w:val="center"/>
              <w:rPr>
                <w:rFonts w:hint="eastAsia" w:ascii="宋体" w:hAnsi="宋体" w:cs="宋体"/>
                <w:sz w:val="21"/>
                <w:szCs w:val="21"/>
              </w:rPr>
            </w:pPr>
          </w:p>
        </w:tc>
      </w:tr>
    </w:tbl>
    <w:p>
      <w:pPr>
        <w:keepNext w:val="0"/>
        <w:keepLines w:val="0"/>
        <w:pageBreakBefore w:val="0"/>
        <w:widowControl/>
        <w:kinsoku/>
        <w:wordWrap/>
        <w:overflowPunct/>
        <w:topLinePunct w:val="0"/>
        <w:autoSpaceDE/>
        <w:autoSpaceDN/>
        <w:bidi w:val="0"/>
        <w:adjustRightInd/>
        <w:spacing w:line="400" w:lineRule="exact"/>
        <w:ind w:firstLine="527" w:firstLineChars="250"/>
        <w:textAlignment w:val="auto"/>
        <w:rPr>
          <w:rFonts w:hint="eastAsia" w:ascii="宋体" w:hAnsi="宋体" w:eastAsia="宋体" w:cs="宋体"/>
          <w:b/>
          <w:bCs w:val="0"/>
          <w:color w:val="000000"/>
          <w:kern w:val="2"/>
          <w:sz w:val="21"/>
          <w:szCs w:val="21"/>
          <w:lang w:val="en-US" w:eastAsia="zh-CN" w:bidi="ar-SA"/>
        </w:rPr>
      </w:pPr>
    </w:p>
    <w:p>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b/>
          <w:bCs w:val="0"/>
          <w:color w:val="000000"/>
          <w:kern w:val="2"/>
          <w:sz w:val="21"/>
          <w:szCs w:val="21"/>
          <w:lang w:val="en-US" w:eastAsia="zh-CN" w:bidi="ar-SA"/>
        </w:rPr>
      </w:pPr>
    </w:p>
    <w:p>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kern w:val="2"/>
          <w:sz w:val="21"/>
          <w:szCs w:val="21"/>
          <w:lang w:val="en-US" w:eastAsia="zh-CN" w:bidi="ar-SA"/>
        </w:rPr>
        <w:t xml:space="preserve">   6、中标候选人排序表</w:t>
      </w:r>
    </w:p>
    <w:tbl>
      <w:tblPr>
        <w:tblStyle w:val="42"/>
        <w:tblW w:w="10253" w:type="dxa"/>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5"/>
        <w:gridCol w:w="4295"/>
        <w:gridCol w:w="2293"/>
        <w:gridCol w:w="24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trPr>
        <w:tc>
          <w:tcPr>
            <w:tcW w:w="1245" w:type="dxa"/>
            <w:tcBorders>
              <w:top w:val="single" w:color="000000" w:sz="12"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4295" w:type="dxa"/>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投标人名称</w:t>
            </w:r>
          </w:p>
        </w:tc>
        <w:tc>
          <w:tcPr>
            <w:tcW w:w="2293" w:type="dxa"/>
            <w:tcBorders>
              <w:top w:val="single" w:color="000000"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得分</w:t>
            </w:r>
          </w:p>
        </w:tc>
        <w:tc>
          <w:tcPr>
            <w:tcW w:w="2420" w:type="dxa"/>
            <w:tcBorders>
              <w:top w:val="single" w:color="000000" w:sz="12"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排序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atLeast"/>
        </w:trPr>
        <w:tc>
          <w:tcPr>
            <w:tcW w:w="1245" w:type="dxa"/>
            <w:tcBorders>
              <w:top w:val="single" w:color="000000" w:sz="4"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420"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trPr>
        <w:tc>
          <w:tcPr>
            <w:tcW w:w="1245" w:type="dxa"/>
            <w:tcBorders>
              <w:top w:val="single" w:color="000000" w:sz="4"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2</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420"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trPr>
        <w:tc>
          <w:tcPr>
            <w:tcW w:w="1245" w:type="dxa"/>
            <w:tcBorders>
              <w:top w:val="single" w:color="000000" w:sz="4" w:space="0"/>
              <w:left w:val="single" w:color="000000" w:sz="12"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3</w:t>
            </w:r>
          </w:p>
        </w:tc>
        <w:tc>
          <w:tcPr>
            <w:tcW w:w="42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1"/>
                <w:szCs w:val="21"/>
              </w:rPr>
            </w:pPr>
          </w:p>
        </w:tc>
        <w:tc>
          <w:tcPr>
            <w:tcW w:w="2420" w:type="dxa"/>
            <w:tcBorders>
              <w:top w:val="single" w:color="000000" w:sz="4" w:space="0"/>
              <w:left w:val="single" w:color="000000" w:sz="4" w:space="0"/>
              <w:bottom w:val="single" w:color="000000" w:sz="4" w:space="0"/>
              <w:right w:val="single" w:color="000000" w:sz="12" w:space="0"/>
            </w:tcBorders>
            <w:noWrap w:val="0"/>
            <w:vAlign w:val="center"/>
          </w:tcPr>
          <w:p>
            <w:pPr>
              <w:jc w:val="center"/>
              <w:rPr>
                <w:rFonts w:hint="eastAsia" w:ascii="宋体" w:hAnsi="宋体" w:eastAsia="宋体" w:cs="宋体"/>
                <w:sz w:val="21"/>
                <w:szCs w:val="21"/>
              </w:rPr>
            </w:pPr>
          </w:p>
        </w:tc>
      </w:tr>
    </w:tbl>
    <w:p>
      <w:pPr>
        <w:snapToGrid w:val="0"/>
        <w:rPr>
          <w:rFonts w:hint="eastAsia" w:ascii="宋体" w:hAnsi="宋体"/>
          <w:szCs w:val="21"/>
        </w:rPr>
      </w:pPr>
    </w:p>
    <w:p>
      <w:pPr>
        <w:snapToGrid w:val="0"/>
        <w:rPr>
          <w:rFonts w:hint="eastAsia" w:ascii="宋体" w:hAnsi="宋体"/>
        </w:rPr>
      </w:pPr>
      <w:r>
        <w:rPr>
          <w:rFonts w:hint="eastAsia" w:ascii="宋体" w:hAnsi="宋体"/>
          <w:szCs w:val="21"/>
        </w:rPr>
        <w:t>评标委员会全体成员签字</w:t>
      </w:r>
      <w:r>
        <w:rPr>
          <w:rFonts w:hint="eastAsia" w:ascii="宋体" w:hAnsi="宋体"/>
        </w:rPr>
        <w:t>/日期：</w:t>
      </w:r>
    </w:p>
    <w:p>
      <w:pPr>
        <w:spacing w:line="360" w:lineRule="auto"/>
        <w:ind w:firstLine="560" w:firstLineChars="200"/>
        <w:rPr>
          <w:rFonts w:ascii="宋体" w:hAnsi="宋体" w:cs="Arial Unicode MS"/>
          <w:sz w:val="28"/>
          <w:szCs w:val="28"/>
        </w:rPr>
      </w:pPr>
      <w:r>
        <w:rPr>
          <w:rFonts w:hint="eastAsia" w:ascii="宋体" w:hAnsi="宋体" w:cs="Arial Unicode MS"/>
          <w:sz w:val="28"/>
          <w:szCs w:val="28"/>
        </w:rPr>
        <w:t xml:space="preserve">                                                              </w:t>
      </w:r>
    </w:p>
    <w:p>
      <w:pPr>
        <w:spacing w:after="156" w:afterLines="50" w:line="600" w:lineRule="exact"/>
        <w:rPr>
          <w:rFonts w:hint="default" w:ascii="宋体" w:hAnsi="宋体" w:cs="宋体"/>
          <w:szCs w:val="10"/>
          <w:lang w:val="en-US"/>
        </w:rPr>
      </w:pPr>
    </w:p>
    <w:p>
      <w:pPr>
        <w:jc w:val="left"/>
        <w:rPr>
          <w:rFonts w:hint="eastAsia" w:ascii="宋体" w:hAnsi="宋体" w:cs="宋体"/>
          <w:szCs w:val="21"/>
        </w:rPr>
      </w:pPr>
    </w:p>
    <w:p>
      <w:pPr>
        <w:jc w:val="left"/>
        <w:rPr>
          <w:rFonts w:hint="eastAsia" w:ascii="宋体" w:hAnsi="宋体" w:cs="宋体"/>
          <w:szCs w:val="21"/>
        </w:rPr>
      </w:pPr>
    </w:p>
    <w:p>
      <w:pPr>
        <w:jc w:val="left"/>
        <w:rPr>
          <w:rFonts w:hint="eastAsia" w:ascii="宋体" w:hAnsi="宋体" w:cs="宋体"/>
          <w:szCs w:val="21"/>
        </w:rPr>
      </w:pPr>
      <w:r>
        <w:rPr>
          <w:rFonts w:hint="eastAsia" w:ascii="宋体" w:hAnsi="宋体" w:cs="宋体"/>
          <w:szCs w:val="21"/>
          <w:lang w:val="en-US" w:eastAsia="zh-CN"/>
        </w:rPr>
        <w:t xml:space="preserve">           </w:t>
      </w:r>
    </w:p>
    <w:p>
      <w:pPr>
        <w:pStyle w:val="3"/>
        <w:keepNext w:val="0"/>
        <w:adjustRightInd w:val="0"/>
        <w:snapToGrid w:val="0"/>
        <w:spacing w:before="156" w:beforeLines="50" w:line="360" w:lineRule="auto"/>
        <w:ind w:firstLine="2891" w:firstLineChars="900"/>
        <w:jc w:val="both"/>
        <w:rPr>
          <w:rFonts w:ascii="黑体" w:hAnsi="华文中宋" w:eastAsia="黑体"/>
          <w:sz w:val="32"/>
          <w:szCs w:val="32"/>
        </w:rPr>
      </w:pPr>
      <w:bookmarkStart w:id="104" w:name="_Toc20651233"/>
      <w:r>
        <w:rPr>
          <w:rFonts w:hint="eastAsia" w:ascii="黑体" w:hAnsi="华文中宋" w:eastAsia="黑体"/>
          <w:sz w:val="32"/>
          <w:szCs w:val="32"/>
        </w:rPr>
        <w:t>第五章 采购需求</w:t>
      </w:r>
      <w:bookmarkEnd w:id="104"/>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color w:val="000000"/>
          <w:spacing w:val="-8"/>
          <w:sz w:val="21"/>
          <w:szCs w:val="21"/>
        </w:rPr>
      </w:pPr>
      <w:bookmarkStart w:id="105" w:name="_Toc20651234"/>
      <w:r>
        <w:rPr>
          <w:rFonts w:hint="eastAsia" w:ascii="宋体" w:hAnsi="宋体" w:eastAsia="宋体" w:cs="宋体"/>
          <w:b/>
          <w:color w:val="000000"/>
          <w:kern w:val="0"/>
          <w:sz w:val="21"/>
          <w:szCs w:val="21"/>
        </w:rPr>
        <w:t>一、货物名称、规格及数量</w:t>
      </w:r>
    </w:p>
    <w:p>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品目一：预包装食品（食用油、大米、调味品、干货、冻货类、蛋类、豆腐类、面灰类、米粉类及其他预包装食品，每年采购预算约700万元人民币）</w:t>
      </w:r>
    </w:p>
    <w:tbl>
      <w:tblPr>
        <w:tblStyle w:val="42"/>
        <w:tblW w:w="9038" w:type="dxa"/>
        <w:jc w:val="center"/>
        <w:tblLayout w:type="fixed"/>
        <w:tblCellMar>
          <w:top w:w="0" w:type="dxa"/>
          <w:left w:w="108" w:type="dxa"/>
          <w:bottom w:w="0" w:type="dxa"/>
          <w:right w:w="108" w:type="dxa"/>
        </w:tblCellMar>
      </w:tblPr>
      <w:tblGrid>
        <w:gridCol w:w="957"/>
        <w:gridCol w:w="2641"/>
        <w:gridCol w:w="4310"/>
        <w:gridCol w:w="1130"/>
      </w:tblGrid>
      <w:tr>
        <w:tblPrEx>
          <w:tblCellMar>
            <w:top w:w="0" w:type="dxa"/>
            <w:left w:w="108" w:type="dxa"/>
            <w:bottom w:w="0" w:type="dxa"/>
            <w:right w:w="108" w:type="dxa"/>
          </w:tblCellMar>
        </w:tblPrEx>
        <w:trPr>
          <w:trHeight w:val="531"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名称</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质量标准</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基本要求</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计量单位</w:t>
            </w:r>
          </w:p>
        </w:tc>
      </w:tr>
      <w:tr>
        <w:tblPrEx>
          <w:tblCellMar>
            <w:top w:w="0" w:type="dxa"/>
            <w:left w:w="108" w:type="dxa"/>
            <w:bottom w:w="0" w:type="dxa"/>
            <w:right w:w="108" w:type="dxa"/>
          </w:tblCellMar>
        </w:tblPrEx>
        <w:trPr>
          <w:trHeight w:val="2275"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大米</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符合中华人民共和国国家标准(大米)GB1354-2009标准</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1、色泽：符合应有品种的色泽，呈透明、半透明或白色，有光泽</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2、形状：符合应有品种的粒形</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3、气味：具有新鲜米的特有香气，无异味</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4、滋味：生米无异味，煮熟后有鲜香味</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5、外来杂物：无</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6、非转基因大米</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7、参考品牌:金健桃花香、北大荒东北大米、中粮集团福临门（同等档次或以上的产品）</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2024"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面</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 19295-2011 食品安全国家标准、小麦粉国家质量标准（GB1355-2005）</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1、灰分（干基），% ≤0.60，面筋量（14%水分）%≥ 32.0，面筋指数≥ 70，水分≤ 14.5%；颜色泽微黄色或白色，均匀不发暗，粉末细、具有正常的面粉气味、手握面粉松手后松散不成团、味道正常，无发酸、刺喉，咀嚼时没有牙碜感、无杂物，拥有“QS”食品安全认证、非转基因源料加工。</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2、参考品牌：香雪、福临门、古船、河套、五得利（同等档次或以上的产品）</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520"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食用油</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符合GB15680标准</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《食用植物油卫生标准》（GB2716-2005）和</w:t>
            </w:r>
            <w:r>
              <w:rPr>
                <w:rFonts w:hint="eastAsia" w:ascii="宋体" w:hAnsi="宋体" w:eastAsia="宋体" w:cs="宋体"/>
                <w:color w:val="000000"/>
                <w:sz w:val="21"/>
                <w:szCs w:val="21"/>
                <w:lang w:val="en-US" w:eastAsia="zh-CN"/>
              </w:rPr>
              <w:t>食品安全国家标准《食品添加剂使用标准》GB2760-2014及其相关标准</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1、具有产品正常的色泽，澄清透明，气味口感较好，无焦臭、酸败及其他异味，密封良好，无沉淀，产品标识规范，拥有“QS”食品安全认证，非转基因源料加工。</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2、参考品牌:鼎皇、金健、金浩、福临门、鲁花、金龙鱼（同等档次或以上的产品）</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公斤或升</w:t>
            </w:r>
          </w:p>
        </w:tc>
      </w:tr>
      <w:tr>
        <w:tblPrEx>
          <w:tblCellMar>
            <w:top w:w="0" w:type="dxa"/>
            <w:left w:w="108" w:type="dxa"/>
            <w:bottom w:w="0" w:type="dxa"/>
            <w:right w:w="108" w:type="dxa"/>
          </w:tblCellMar>
        </w:tblPrEx>
        <w:trPr>
          <w:trHeight w:val="1017"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调味品</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符合GB/T20903-2007标准调味品分类</w:t>
            </w:r>
            <w:r>
              <w:rPr>
                <w:rFonts w:hint="eastAsia" w:ascii="宋体" w:hAnsi="宋体" w:eastAsia="宋体" w:cs="宋体"/>
                <w:color w:val="000000"/>
                <w:sz w:val="21"/>
                <w:szCs w:val="21"/>
                <w:lang w:val="en-US" w:eastAsia="zh-CN"/>
              </w:rPr>
              <w:t>和食品安全国家标准《食品添加剂使用标准》GB2760-2014及其相关标准</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1、标识清晰、规范，密封良好，无异物，产品标识规范，拥有“QS”食品安全认证。</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2、参考品牌:长康、海天、李锦记（同等档次或以上的产品）</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瓶、袋、件</w:t>
            </w:r>
          </w:p>
        </w:tc>
      </w:tr>
      <w:tr>
        <w:tblPrEx>
          <w:tblCellMar>
            <w:top w:w="0" w:type="dxa"/>
            <w:left w:w="108" w:type="dxa"/>
            <w:bottom w:w="0" w:type="dxa"/>
            <w:right w:w="108" w:type="dxa"/>
          </w:tblCellMar>
        </w:tblPrEx>
        <w:trPr>
          <w:trHeight w:val="751"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冻货类</w:t>
            </w:r>
          </w:p>
        </w:tc>
        <w:tc>
          <w:tcPr>
            <w:tcW w:w="26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有产品合格证，注明生产日期、保质期，塑料包装或纸质包装。</w:t>
            </w:r>
          </w:p>
        </w:tc>
        <w:tc>
          <w:tcPr>
            <w:tcW w:w="4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冻鸡、冻鸭、冻牛肉类</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箱、件</w:t>
            </w:r>
          </w:p>
        </w:tc>
      </w:tr>
      <w:tr>
        <w:tblPrEx>
          <w:tblCellMar>
            <w:top w:w="0" w:type="dxa"/>
            <w:left w:w="108" w:type="dxa"/>
            <w:bottom w:w="0" w:type="dxa"/>
            <w:right w:w="108" w:type="dxa"/>
          </w:tblCellMar>
        </w:tblPrEx>
        <w:trPr>
          <w:trHeight w:val="90"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w:t>
            </w:r>
          </w:p>
        </w:tc>
        <w:tc>
          <w:tcPr>
            <w:tcW w:w="808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该品目中标供应商应根据业主要求品牌供货（具体合同约定）</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其它未列举的粮、油类食品物资由该品目中标供应商供货。</w:t>
            </w:r>
          </w:p>
        </w:tc>
      </w:tr>
    </w:tbl>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包装要求：</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独立包装。</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000000"/>
          <w:spacing w:val="8"/>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包装袋上有注册商标及QS标志，有生产日期、保质期、生产厂家、厂家地址和电话、产地。</w:t>
      </w:r>
    </w:p>
    <w:p>
      <w:pPr>
        <w:keepNext w:val="0"/>
        <w:keepLines w:val="0"/>
        <w:pageBreakBefore w:val="0"/>
        <w:tabs>
          <w:tab w:val="left" w:pos="420"/>
        </w:tabs>
        <w:kinsoku/>
        <w:wordWrap/>
        <w:overflowPunct/>
        <w:topLinePunct w:val="0"/>
        <w:bidi w:val="0"/>
        <w:adjustRightInd w:val="0"/>
        <w:snapToGrid w:val="0"/>
        <w:spacing w:line="360" w:lineRule="auto"/>
        <w:textAlignment w:val="auto"/>
        <w:rPr>
          <w:rFonts w:hint="eastAsia" w:ascii="宋体" w:hAnsi="宋体" w:eastAsia="宋体" w:cs="宋体"/>
          <w:b/>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firstLine="210" w:firstLineChars="100"/>
        <w:textAlignment w:val="auto"/>
        <w:rPr>
          <w:rFonts w:hint="eastAsia" w:ascii="宋体" w:hAnsi="宋体" w:eastAsia="宋体" w:cs="宋体"/>
          <w:b w:val="0"/>
          <w:bCs/>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firstLine="210" w:firstLineChars="100"/>
        <w:textAlignment w:val="auto"/>
        <w:rPr>
          <w:rFonts w:hint="eastAsia" w:ascii="宋体" w:hAnsi="宋体" w:eastAsia="宋体" w:cs="宋体"/>
          <w:b/>
          <w:color w:val="000000"/>
          <w:kern w:val="0"/>
          <w:sz w:val="21"/>
          <w:szCs w:val="21"/>
        </w:rPr>
      </w:pPr>
      <w:r>
        <w:rPr>
          <w:rFonts w:hint="eastAsia" w:ascii="宋体" w:hAnsi="宋体" w:eastAsia="宋体" w:cs="宋体"/>
          <w:b w:val="0"/>
          <w:bCs/>
          <w:color w:val="000000"/>
          <w:kern w:val="0"/>
          <w:sz w:val="21"/>
          <w:szCs w:val="21"/>
        </w:rPr>
        <w:t>品目二：</w:t>
      </w:r>
      <w:r>
        <w:rPr>
          <w:rFonts w:hint="eastAsia" w:ascii="宋体" w:hAnsi="宋体" w:eastAsia="宋体" w:cs="宋体"/>
          <w:b w:val="0"/>
          <w:bCs/>
          <w:color w:val="000000"/>
          <w:sz w:val="21"/>
          <w:szCs w:val="21"/>
        </w:rPr>
        <w:t>果蔬类</w:t>
      </w:r>
      <w:r>
        <w:rPr>
          <w:rFonts w:hint="eastAsia" w:ascii="宋体" w:hAnsi="宋体" w:eastAsia="宋体" w:cs="宋体"/>
          <w:b w:val="0"/>
          <w:bCs/>
          <w:color w:val="000000"/>
          <w:kern w:val="0"/>
          <w:sz w:val="21"/>
          <w:szCs w:val="21"/>
        </w:rPr>
        <w:t>（土豆、西兰花、</w:t>
      </w:r>
      <w:r>
        <w:rPr>
          <w:rFonts w:hint="eastAsia" w:ascii="宋体" w:hAnsi="宋体" w:eastAsia="宋体" w:cs="宋体"/>
          <w:b w:val="0"/>
          <w:bCs/>
          <w:color w:val="000000"/>
          <w:sz w:val="21"/>
          <w:szCs w:val="21"/>
        </w:rPr>
        <w:t>大白菜等</w:t>
      </w:r>
      <w:r>
        <w:rPr>
          <w:rFonts w:hint="eastAsia" w:ascii="宋体" w:hAnsi="宋体" w:eastAsia="宋体" w:cs="宋体"/>
          <w:b w:val="0"/>
          <w:bCs/>
          <w:color w:val="000000"/>
          <w:kern w:val="0"/>
          <w:sz w:val="21"/>
          <w:szCs w:val="21"/>
        </w:rPr>
        <w:t>，每年采购预算约 600万元人民币）</w:t>
      </w:r>
    </w:p>
    <w:tbl>
      <w:tblPr>
        <w:tblStyle w:val="42"/>
        <w:tblW w:w="9368" w:type="dxa"/>
        <w:tblInd w:w="-252" w:type="dxa"/>
        <w:tblLayout w:type="fixed"/>
        <w:tblCellMar>
          <w:top w:w="0" w:type="dxa"/>
          <w:left w:w="108" w:type="dxa"/>
          <w:bottom w:w="0" w:type="dxa"/>
          <w:right w:w="108" w:type="dxa"/>
        </w:tblCellMar>
      </w:tblPr>
      <w:tblGrid>
        <w:gridCol w:w="1747"/>
        <w:gridCol w:w="6007"/>
        <w:gridCol w:w="1614"/>
      </w:tblGrid>
      <w:tr>
        <w:tblPrEx>
          <w:tblCellMar>
            <w:top w:w="0" w:type="dxa"/>
            <w:left w:w="108" w:type="dxa"/>
            <w:bottom w:w="0" w:type="dxa"/>
            <w:right w:w="108" w:type="dxa"/>
          </w:tblCellMar>
        </w:tblPrEx>
        <w:trPr>
          <w:trHeight w:val="470"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名称</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auto"/>
                <w:sz w:val="21"/>
                <w:szCs w:val="21"/>
              </w:rPr>
              <w:t>质量标准</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rPr>
              <w:t>基本要求</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计量单位</w:t>
            </w:r>
          </w:p>
        </w:tc>
      </w:tr>
      <w:tr>
        <w:tblPrEx>
          <w:tblCellMar>
            <w:top w:w="0" w:type="dxa"/>
            <w:left w:w="108" w:type="dxa"/>
            <w:bottom w:w="0" w:type="dxa"/>
            <w:right w:w="108" w:type="dxa"/>
          </w:tblCellMar>
        </w:tblPrEx>
        <w:trPr>
          <w:trHeight w:val="775"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新鲜红辣椒</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长度：10-20厘米。残余农药检验报告合格，外表清洁新鲜、饱满无腐烂、无异味、包装完好。</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587"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芹菜</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鲜嫩、叶片新鲜，无病斑，无烂叶、叶茎完整、根部无腐烂，叶片白色、黄色、绿色皆可。</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095"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黄瓜、冬瓜</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外观良好、表皮无损伤、瓜肉坚实,无腐烂、无虫蛀,</w:t>
            </w:r>
            <w:r>
              <w:rPr>
                <w:rFonts w:hint="eastAsia" w:ascii="宋体" w:hAnsi="宋体" w:eastAsia="宋体" w:cs="宋体"/>
                <w:color w:val="000000"/>
                <w:sz w:val="21"/>
                <w:szCs w:val="21"/>
              </w:rPr>
              <w:t xml:space="preserve"> 无黑心、无病虫害,</w:t>
            </w:r>
            <w:r>
              <w:rPr>
                <w:rFonts w:hint="eastAsia" w:ascii="宋体" w:hAnsi="宋体" w:eastAsia="宋体" w:cs="宋体"/>
                <w:color w:val="000000"/>
                <w:kern w:val="0"/>
                <w:sz w:val="21"/>
                <w:szCs w:val="21"/>
              </w:rPr>
              <w:t xml:space="preserve"> </w:t>
            </w:r>
            <w:r>
              <w:rPr>
                <w:rFonts w:hint="eastAsia" w:ascii="宋体" w:hAnsi="宋体" w:eastAsia="宋体" w:cs="宋体"/>
                <w:color w:val="000000"/>
                <w:sz w:val="21"/>
                <w:szCs w:val="21"/>
              </w:rPr>
              <w:t>外观良好、色泽鲜明。</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597"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红富士苹果</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残余农药检验报告合格，果面光滑有光泽，具有本品种应有的自然色泽；无斑点或极少果锈，不起皱，无裂口，无压痕及其他机械损伤和冻伤黑斑,外表清洁新鲜、无腐烂、无异味、包装完好, 大小均衡，口感好。</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153"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梨子</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果形端正、无畸形果、带果柄、果面新鲜洁净、无刺划伤、无压痕、无病虫害、味道爽甜，大小均衡，口感好。</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883"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香蕉</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果实丰满，果形端正，梳柄完整，不缺只口，单果均匀；色泽自然、光亮；皮色青黄，果面光滑，无病黑斑，无虫疤，无霉菌，无创伤；果肉稍硬；果皮可剥或易剥；大小均衡，口感好。</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1507"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大白菜、包菜等叶菜类</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鲜嫩、叶片新鲜，无病斑，无烂叶、叶茎完整、根部无腐烂，叶片白色、黄色、绿色皆可。</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809"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白萝卜</w:t>
            </w:r>
          </w:p>
        </w:tc>
        <w:tc>
          <w:tcPr>
            <w:tcW w:w="6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表皮坚硬、无腐烂、不空心、不黑心、弹击有实心感,干净清洁、无虫害、无发霉现象。</w:t>
            </w:r>
          </w:p>
        </w:tc>
        <w:tc>
          <w:tcPr>
            <w:tcW w:w="1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942" w:hRule="atLeast"/>
        </w:trPr>
        <w:tc>
          <w:tcPr>
            <w:tcW w:w="1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w:t>
            </w:r>
          </w:p>
        </w:tc>
        <w:tc>
          <w:tcPr>
            <w:tcW w:w="762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280" w:lineRule="exac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该品目中标供应商根据业主要求品牌供货（具体合同约定）</w:t>
            </w:r>
          </w:p>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其它未列举的水果、蔬菜等同类食品物资由该品目中标供应商供货。</w:t>
            </w:r>
          </w:p>
          <w:p>
            <w:pPr>
              <w:pStyle w:val="2"/>
              <w:keepNext w:val="0"/>
              <w:keepLines w:val="0"/>
              <w:pageBreakBefore w:val="0"/>
              <w:kinsoku/>
              <w:wordWrap/>
              <w:overflowPunct/>
              <w:topLinePunct w:val="0"/>
              <w:bidi w:val="0"/>
              <w:adjustRightInd w:val="0"/>
              <w:snapToGrid w:val="0"/>
              <w:spacing w:line="280" w:lineRule="exact"/>
              <w:ind w:left="0" w:leftChars="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3.以上品种为常规采购品种，不排除有采购所列品种之外的可能，若采购其他品</w:t>
            </w:r>
            <w:r>
              <w:rPr>
                <w:rFonts w:hint="eastAsia" w:ascii="宋体" w:hAnsi="宋体" w:eastAsia="宋体" w:cs="宋体"/>
                <w:kern w:val="2"/>
                <w:sz w:val="21"/>
                <w:szCs w:val="21"/>
                <w:lang w:val="en-US" w:eastAsia="zh-CN" w:bidi="ar-SA"/>
              </w:rPr>
              <w:t>种，需满足采购人实际需求</w:t>
            </w:r>
          </w:p>
          <w:p>
            <w:pPr>
              <w:keepNext w:val="0"/>
              <w:keepLines w:val="0"/>
              <w:pageBreakBefore w:val="0"/>
              <w:kinsoku/>
              <w:wordWrap/>
              <w:overflowPunct/>
              <w:topLinePunct w:val="0"/>
              <w:bidi w:val="0"/>
              <w:adjustRightInd w:val="0"/>
              <w:snapToGrid w:val="0"/>
              <w:spacing w:line="28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质量标准：蔬菜执行国家标准，新鲜无坏臭，符合农药限量标准GB-2763-2019的要求。</w:t>
            </w:r>
          </w:p>
        </w:tc>
      </w:tr>
    </w:tbl>
    <w:p>
      <w:pPr>
        <w:keepNext w:val="0"/>
        <w:keepLines w:val="0"/>
        <w:pageBreakBefore w:val="0"/>
        <w:tabs>
          <w:tab w:val="left" w:pos="420"/>
        </w:tabs>
        <w:kinsoku/>
        <w:wordWrap/>
        <w:overflowPunct/>
        <w:topLinePunct w:val="0"/>
        <w:bidi w:val="0"/>
        <w:adjustRightInd w:val="0"/>
        <w:snapToGrid w:val="0"/>
        <w:spacing w:line="360" w:lineRule="auto"/>
        <w:ind w:right="391" w:rightChars="186" w:firstLine="420" w:firstLineChars="200"/>
        <w:textAlignment w:val="auto"/>
        <w:rPr>
          <w:rFonts w:hint="eastAsia" w:ascii="宋体" w:hAnsi="宋体" w:eastAsia="宋体" w:cs="宋体"/>
          <w:b w:val="0"/>
          <w:bCs/>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right="391" w:rightChars="186" w:firstLine="420" w:firstLineChars="200"/>
        <w:textAlignment w:val="auto"/>
        <w:rPr>
          <w:rFonts w:hint="eastAsia" w:ascii="宋体" w:hAnsi="宋体" w:eastAsia="宋体" w:cs="宋体"/>
          <w:b w:val="0"/>
          <w:bCs/>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right="391" w:rightChars="186" w:firstLine="420" w:firstLineChars="200"/>
        <w:textAlignment w:val="auto"/>
        <w:rPr>
          <w:rFonts w:hint="eastAsia" w:ascii="宋体" w:hAnsi="宋体" w:eastAsia="宋体" w:cs="宋体"/>
          <w:b w:val="0"/>
          <w:bCs/>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right="391" w:rightChars="186" w:firstLine="420" w:firstLineChars="200"/>
        <w:textAlignment w:val="auto"/>
        <w:rPr>
          <w:rFonts w:hint="eastAsia" w:ascii="宋体" w:hAnsi="宋体" w:eastAsia="宋体" w:cs="宋体"/>
          <w:b w:val="0"/>
          <w:bCs/>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right="391" w:rightChars="186" w:firstLine="420" w:firstLineChars="200"/>
        <w:textAlignment w:val="auto"/>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品目三：</w:t>
      </w:r>
      <w:r>
        <w:rPr>
          <w:rFonts w:hint="eastAsia" w:ascii="宋体" w:hAnsi="宋体" w:eastAsia="宋体" w:cs="宋体"/>
          <w:b w:val="0"/>
          <w:bCs/>
          <w:color w:val="000000"/>
          <w:sz w:val="21"/>
          <w:szCs w:val="21"/>
        </w:rPr>
        <w:t>家禽、水海产品类</w:t>
      </w:r>
      <w:r>
        <w:rPr>
          <w:rFonts w:hint="eastAsia" w:ascii="宋体" w:hAnsi="宋体" w:eastAsia="宋体" w:cs="宋体"/>
          <w:b w:val="0"/>
          <w:bCs/>
          <w:color w:val="000000"/>
          <w:kern w:val="0"/>
          <w:sz w:val="21"/>
          <w:szCs w:val="21"/>
        </w:rPr>
        <w:t>（</w:t>
      </w:r>
      <w:r>
        <w:rPr>
          <w:rFonts w:hint="eastAsia" w:ascii="宋体" w:hAnsi="宋体" w:eastAsia="宋体" w:cs="宋体"/>
          <w:b w:val="0"/>
          <w:bCs/>
          <w:color w:val="000000"/>
          <w:sz w:val="21"/>
          <w:szCs w:val="21"/>
        </w:rPr>
        <w:t xml:space="preserve"> 鸡、 鸭、活草鱼、活雄鱼、基围虾等</w:t>
      </w:r>
      <w:r>
        <w:rPr>
          <w:rFonts w:hint="eastAsia" w:ascii="宋体" w:hAnsi="宋体" w:eastAsia="宋体" w:cs="宋体"/>
          <w:b w:val="0"/>
          <w:bCs/>
          <w:color w:val="000000"/>
          <w:kern w:val="0"/>
          <w:sz w:val="21"/>
          <w:szCs w:val="21"/>
        </w:rPr>
        <w:t>，每年采购预算约 220万元人民币）</w:t>
      </w:r>
    </w:p>
    <w:tbl>
      <w:tblPr>
        <w:tblStyle w:val="42"/>
        <w:tblW w:w="9368" w:type="dxa"/>
        <w:tblInd w:w="-252" w:type="dxa"/>
        <w:tblLayout w:type="fixed"/>
        <w:tblCellMar>
          <w:top w:w="0" w:type="dxa"/>
          <w:left w:w="108" w:type="dxa"/>
          <w:bottom w:w="0" w:type="dxa"/>
          <w:right w:w="108" w:type="dxa"/>
        </w:tblCellMar>
      </w:tblPr>
      <w:tblGrid>
        <w:gridCol w:w="1261"/>
        <w:gridCol w:w="1621"/>
        <w:gridCol w:w="3751"/>
        <w:gridCol w:w="1473"/>
        <w:gridCol w:w="1262"/>
      </w:tblGrid>
      <w:tr>
        <w:tblPrEx>
          <w:tblCellMar>
            <w:top w:w="0" w:type="dxa"/>
            <w:left w:w="108" w:type="dxa"/>
            <w:bottom w:w="0" w:type="dxa"/>
            <w:right w:w="108" w:type="dxa"/>
          </w:tblCellMar>
        </w:tblPrEx>
        <w:trPr>
          <w:trHeight w:val="343"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名  称</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质量标准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基本要求</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规格</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计量</w:t>
            </w:r>
          </w:p>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单位</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三黄鸡</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符合GB16869-200</w:t>
            </w:r>
          </w:p>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必须</w:t>
            </w:r>
            <w:r>
              <w:rPr>
                <w:rFonts w:hint="eastAsia" w:ascii="宋体" w:hAnsi="宋体" w:eastAsia="宋体" w:cs="宋体"/>
                <w:color w:val="000000"/>
                <w:kern w:val="0"/>
                <w:sz w:val="21"/>
                <w:szCs w:val="21"/>
              </w:rPr>
              <w:t>附有每批次检疫证明。</w:t>
            </w:r>
            <w:r>
              <w:rPr>
                <w:rFonts w:hint="eastAsia" w:ascii="宋体" w:hAnsi="宋体" w:eastAsia="宋体" w:cs="宋体"/>
                <w:color w:val="000000"/>
                <w:sz w:val="21"/>
                <w:szCs w:val="21"/>
              </w:rPr>
              <w:t>无病态；无异味、三黄鸡验收标准：黄羽、黄喙、黄脚。</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2公斤左右/只</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麻鸭</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符合GB16869-200</w:t>
            </w:r>
          </w:p>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必须</w:t>
            </w:r>
            <w:r>
              <w:rPr>
                <w:rFonts w:hint="eastAsia" w:ascii="宋体" w:hAnsi="宋体" w:eastAsia="宋体" w:cs="宋体"/>
                <w:color w:val="000000"/>
                <w:kern w:val="0"/>
                <w:sz w:val="21"/>
                <w:szCs w:val="21"/>
              </w:rPr>
              <w:t>附有每批次检疫证明。</w:t>
            </w:r>
            <w:r>
              <w:rPr>
                <w:rFonts w:hint="eastAsia" w:ascii="宋体" w:hAnsi="宋体" w:eastAsia="宋体" w:cs="宋体"/>
                <w:color w:val="000000"/>
                <w:sz w:val="21"/>
                <w:szCs w:val="21"/>
              </w:rPr>
              <w:t>活鸭</w:t>
            </w:r>
            <w:r>
              <w:rPr>
                <w:rFonts w:hint="eastAsia" w:ascii="宋体" w:hAnsi="宋体" w:eastAsia="宋体" w:cs="宋体"/>
                <w:color w:val="000000"/>
                <w:kern w:val="0"/>
                <w:sz w:val="21"/>
                <w:szCs w:val="21"/>
              </w:rPr>
              <w:t>草绳每个不得超过30ɡ，</w:t>
            </w:r>
            <w:r>
              <w:rPr>
                <w:rFonts w:hint="eastAsia" w:ascii="宋体" w:hAnsi="宋体" w:eastAsia="宋体" w:cs="宋体"/>
                <w:color w:val="000000"/>
                <w:sz w:val="21"/>
                <w:szCs w:val="21"/>
              </w:rPr>
              <w:t>个重1.75</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以上、食袋食物不得超过</w:t>
            </w:r>
            <w:r>
              <w:rPr>
                <w:rFonts w:hint="eastAsia" w:ascii="宋体" w:hAnsi="宋体" w:eastAsia="宋体" w:cs="宋体"/>
                <w:color w:val="000000"/>
                <w:kern w:val="0"/>
                <w:sz w:val="21"/>
                <w:szCs w:val="21"/>
              </w:rPr>
              <w:t>50ɡ，无注水现象。</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1.75公斤左右/只</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鸡蛋</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新鲜蛋用光照,能透光,呈桔红色,气室小而透亮,蛋黄轮廓完整清晰,无斑点。</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鹅</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符合GB16869安全-200</w:t>
            </w:r>
          </w:p>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必须</w:t>
            </w:r>
            <w:r>
              <w:rPr>
                <w:rFonts w:hint="eastAsia" w:ascii="宋体" w:hAnsi="宋体" w:eastAsia="宋体" w:cs="宋体"/>
                <w:color w:val="000000"/>
                <w:kern w:val="0"/>
                <w:sz w:val="21"/>
                <w:szCs w:val="21"/>
              </w:rPr>
              <w:t>附有每批次检疫证明。</w:t>
            </w:r>
            <w:r>
              <w:rPr>
                <w:rFonts w:hint="eastAsia" w:ascii="宋体" w:hAnsi="宋体" w:eastAsia="宋体" w:cs="宋体"/>
                <w:color w:val="000000"/>
                <w:sz w:val="21"/>
                <w:szCs w:val="21"/>
              </w:rPr>
              <w:t>活鹅</w:t>
            </w:r>
            <w:r>
              <w:rPr>
                <w:rFonts w:hint="eastAsia" w:ascii="宋体" w:hAnsi="宋体" w:eastAsia="宋体" w:cs="宋体"/>
                <w:color w:val="000000"/>
                <w:kern w:val="0"/>
                <w:sz w:val="21"/>
                <w:szCs w:val="21"/>
              </w:rPr>
              <w:t>草绳每个不得超过30ɡ，</w:t>
            </w:r>
            <w:r>
              <w:rPr>
                <w:rFonts w:hint="eastAsia" w:ascii="宋体" w:hAnsi="宋体" w:eastAsia="宋体" w:cs="宋体"/>
                <w:color w:val="000000"/>
                <w:sz w:val="21"/>
                <w:szCs w:val="21"/>
              </w:rPr>
              <w:t>个重2.5</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以上、食袋食物不得超过</w:t>
            </w:r>
            <w:r>
              <w:rPr>
                <w:rFonts w:hint="eastAsia" w:ascii="宋体" w:hAnsi="宋体" w:eastAsia="宋体" w:cs="宋体"/>
                <w:color w:val="000000"/>
                <w:kern w:val="0"/>
                <w:sz w:val="21"/>
                <w:szCs w:val="21"/>
              </w:rPr>
              <w:t>50ɡ，无注水现象。</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2.5公斤左右/只</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活草鱼</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符合GB2733-2015、GB2762、GB2763标准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眼球饱满凸出，角膜光亮透明。鳃盖紧闭，鳃丝鲜红清晰，粘液润滑透明，无异味。指压被侧肌肉，肌肉紧实富有弹性，不留指痕。鳞片有光泽，纹理清晰，紧贴鱼体，不易剥落。</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2公斤左右/条</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活鳅鱼</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符合GB2733-2015、GB2762、GB2763标准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鱼体光泽，表体无损伤，粘液润滑透明，无异味。</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活雄鱼</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符合GB2733-2015、GB2762、GB2763标准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眼球饱满凸出，角膜光亮透明。鳃盖紧闭，鳃丝鲜红清晰，粘液润滑透明，无异味。指压被侧肌肉，肌肉紧实富有弹性，不留指痕。鳞片有光泽，纹理清晰，紧贴鱼体，不易剥落。</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2公斤左右/条</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468"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活基围虾及鲜活贝类</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符合GB2733-2015、GB2762、GB2763标准</w:t>
            </w:r>
          </w:p>
        </w:tc>
        <w:tc>
          <w:tcPr>
            <w:tcW w:w="37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活虾应</w:t>
            </w:r>
            <w:r>
              <w:rPr>
                <w:rFonts w:hint="eastAsia" w:ascii="宋体" w:hAnsi="宋体" w:eastAsia="宋体" w:cs="宋体"/>
                <w:color w:val="000000"/>
                <w:sz w:val="21"/>
                <w:szCs w:val="21"/>
              </w:rPr>
              <w:t>活蹦乱跳、</w:t>
            </w:r>
            <w:r>
              <w:rPr>
                <w:rFonts w:hint="eastAsia" w:ascii="宋体" w:hAnsi="宋体" w:eastAsia="宋体" w:cs="宋体"/>
                <w:color w:val="000000"/>
                <w:kern w:val="0"/>
                <w:sz w:val="21"/>
                <w:szCs w:val="21"/>
              </w:rPr>
              <w:t>澄清而有光泽；</w:t>
            </w:r>
            <w:r>
              <w:rPr>
                <w:rFonts w:hint="eastAsia" w:ascii="宋体" w:hAnsi="宋体" w:eastAsia="宋体" w:cs="宋体"/>
                <w:color w:val="000000"/>
                <w:sz w:val="21"/>
                <w:szCs w:val="21"/>
              </w:rPr>
              <w:t>鲜活贝类，颜色应鲜艳湿润，壳体完整无损，双壳紧闭，用手掰不开，或双壳自动裂开，稍有触及则立即闭合。</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517" w:hRule="atLeast"/>
        </w:trPr>
        <w:tc>
          <w:tcPr>
            <w:tcW w:w="12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w:t>
            </w:r>
          </w:p>
        </w:tc>
        <w:tc>
          <w:tcPr>
            <w:tcW w:w="810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该品目中标供应商根据业主要求品牌供货（具体合同约定）</w:t>
            </w:r>
          </w:p>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其它未列举的家禽、水海产品类食品物资由该品目中标供应商供货。</w:t>
            </w:r>
          </w:p>
        </w:tc>
      </w:tr>
    </w:tbl>
    <w:p>
      <w:pPr>
        <w:keepNext w:val="0"/>
        <w:keepLines w:val="0"/>
        <w:pageBreakBefore w:val="0"/>
        <w:tabs>
          <w:tab w:val="left" w:pos="420"/>
        </w:tabs>
        <w:kinsoku/>
        <w:wordWrap/>
        <w:overflowPunct/>
        <w:topLinePunct w:val="0"/>
        <w:bidi w:val="0"/>
        <w:adjustRightInd w:val="0"/>
        <w:snapToGrid w:val="0"/>
        <w:spacing w:line="360" w:lineRule="auto"/>
        <w:textAlignment w:val="auto"/>
        <w:rPr>
          <w:rFonts w:hint="eastAsia" w:ascii="宋体" w:hAnsi="宋体" w:eastAsia="宋体" w:cs="宋体"/>
          <w:b/>
          <w:color w:val="000000"/>
          <w:kern w:val="0"/>
          <w:sz w:val="21"/>
          <w:szCs w:val="21"/>
        </w:rPr>
      </w:pPr>
    </w:p>
    <w:p>
      <w:pPr>
        <w:keepNext w:val="0"/>
        <w:keepLines w:val="0"/>
        <w:pageBreakBefore w:val="0"/>
        <w:tabs>
          <w:tab w:val="left" w:pos="420"/>
        </w:tabs>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color w:val="000000"/>
          <w:kern w:val="0"/>
          <w:sz w:val="21"/>
          <w:szCs w:val="21"/>
        </w:rPr>
      </w:pPr>
      <w:r>
        <w:rPr>
          <w:rFonts w:hint="eastAsia" w:ascii="宋体" w:hAnsi="宋体" w:eastAsia="宋体" w:cs="宋体"/>
          <w:b w:val="0"/>
          <w:bCs/>
          <w:color w:val="000000"/>
          <w:kern w:val="0"/>
          <w:sz w:val="21"/>
          <w:szCs w:val="21"/>
        </w:rPr>
        <w:t>品目四：家畜（鲜猪、牛、羊肉等，每年采购预算约180万元人民币）</w:t>
      </w:r>
    </w:p>
    <w:tbl>
      <w:tblPr>
        <w:tblStyle w:val="42"/>
        <w:tblW w:w="9360" w:type="dxa"/>
        <w:tblInd w:w="-252" w:type="dxa"/>
        <w:tblLayout w:type="fixed"/>
        <w:tblCellMar>
          <w:top w:w="0" w:type="dxa"/>
          <w:left w:w="108" w:type="dxa"/>
          <w:bottom w:w="0" w:type="dxa"/>
          <w:right w:w="108" w:type="dxa"/>
        </w:tblCellMar>
      </w:tblPr>
      <w:tblGrid>
        <w:gridCol w:w="1260"/>
        <w:gridCol w:w="1620"/>
        <w:gridCol w:w="4140"/>
        <w:gridCol w:w="818"/>
        <w:gridCol w:w="1522"/>
      </w:tblGrid>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名  称</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center" w:pos="4153"/>
              </w:tabs>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质量标准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center" w:pos="4153"/>
              </w:tabs>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基本要求 </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规格</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计量      </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单位</w:t>
            </w:r>
          </w:p>
        </w:tc>
      </w:tr>
      <w:tr>
        <w:tblPrEx>
          <w:tblCellMar>
            <w:top w:w="0" w:type="dxa"/>
            <w:left w:w="108" w:type="dxa"/>
            <w:bottom w:w="0" w:type="dxa"/>
            <w:right w:w="108" w:type="dxa"/>
          </w:tblCellMar>
        </w:tblPrEx>
        <w:trPr>
          <w:trHeight w:val="557"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鲜猪排骨</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符合GB2707-2005</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色泽正常，无异味、无注水。提供产品时必须具有动物检验检疫证明</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鲜猪精瘦肉</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符合GB2707-2005</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色泽正常，无异味、无注水。提供产品时必须具有动物检验检疫证明</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鲜有皮五花肉</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符合GB2707-2005</w:t>
            </w:r>
          </w:p>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色泽正常，无异味、无注水。提供产品时必须具有动物检验检疫证明</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鲜羊肉</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符GB2707-2005标准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羊肉必须</w:t>
            </w:r>
            <w:r>
              <w:rPr>
                <w:rFonts w:hint="eastAsia" w:ascii="宋体" w:hAnsi="宋体" w:eastAsia="宋体" w:cs="宋体"/>
                <w:color w:val="000000"/>
                <w:kern w:val="0"/>
                <w:sz w:val="21"/>
                <w:szCs w:val="21"/>
              </w:rPr>
              <w:t>附有每批次检疫证明，且色泽新鲜有弹性、肉质粘手、无杂质、无异味、无注水现象。</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鲜牛肉</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符GB2707-2005标准</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牛肉必须</w:t>
            </w:r>
            <w:r>
              <w:rPr>
                <w:rFonts w:hint="eastAsia" w:ascii="宋体" w:hAnsi="宋体" w:eastAsia="宋体" w:cs="宋体"/>
                <w:color w:val="000000"/>
                <w:kern w:val="0"/>
                <w:sz w:val="21"/>
                <w:szCs w:val="21"/>
              </w:rPr>
              <w:t>附有每批次检疫证明，且色泽新鲜有弹性、肉质粘手、无杂质、无异味、无注水现象。</w:t>
            </w:r>
          </w:p>
        </w:tc>
        <w:tc>
          <w:tcPr>
            <w:tcW w:w="8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w:t>
            </w:r>
          </w:p>
        </w:tc>
        <w:tc>
          <w:tcPr>
            <w:tcW w:w="15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r>
      <w:tr>
        <w:tblPrEx>
          <w:tblCellMar>
            <w:top w:w="0" w:type="dxa"/>
            <w:left w:w="108" w:type="dxa"/>
            <w:bottom w:w="0" w:type="dxa"/>
            <w:right w:w="108" w:type="dxa"/>
          </w:tblCellMar>
        </w:tblPrEx>
        <w:trPr>
          <w:trHeight w:val="66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w:t>
            </w:r>
          </w:p>
        </w:tc>
        <w:tc>
          <w:tcPr>
            <w:tcW w:w="810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 xml:space="preserve">该品目中标供应商根据业主要求品牌供货。（具体合同约定） </w:t>
            </w:r>
          </w:p>
          <w:p>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其它未列举的肉类食品物资由该品目中标供应商供货。</w:t>
            </w:r>
          </w:p>
        </w:tc>
      </w:tr>
    </w:tbl>
    <w:p>
      <w:pPr>
        <w:keepNext w:val="0"/>
        <w:keepLines w:val="0"/>
        <w:pageBreakBefore w:val="0"/>
        <w:numPr>
          <w:ilvl w:val="0"/>
          <w:numId w:val="0"/>
        </w:numPr>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cs="宋体"/>
          <w:b/>
          <w:color w:val="000000"/>
          <w:kern w:val="0"/>
          <w:sz w:val="21"/>
          <w:szCs w:val="21"/>
          <w:lang w:val="en-US" w:eastAsia="zh-CN"/>
        </w:rPr>
      </w:pPr>
    </w:p>
    <w:p>
      <w:pPr>
        <w:keepNext w:val="0"/>
        <w:keepLines w:val="0"/>
        <w:pageBreakBefore w:val="0"/>
        <w:numPr>
          <w:ilvl w:val="0"/>
          <w:numId w:val="0"/>
        </w:numPr>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color w:val="000000"/>
          <w:kern w:val="0"/>
          <w:sz w:val="21"/>
          <w:szCs w:val="21"/>
          <w:lang w:val="en-US" w:eastAsia="zh-CN"/>
        </w:rPr>
      </w:pPr>
      <w:r>
        <w:rPr>
          <w:rFonts w:hint="eastAsia" w:ascii="宋体" w:hAnsi="宋体" w:cs="宋体"/>
          <w:b/>
          <w:color w:val="000000"/>
          <w:kern w:val="0"/>
          <w:sz w:val="21"/>
          <w:szCs w:val="21"/>
          <w:lang w:val="en-US" w:eastAsia="zh-CN"/>
        </w:rPr>
        <w:t>二、</w:t>
      </w:r>
      <w:r>
        <w:rPr>
          <w:rFonts w:hint="eastAsia" w:ascii="宋体" w:hAnsi="宋体" w:eastAsia="宋体" w:cs="宋体"/>
          <w:b/>
          <w:color w:val="000000"/>
          <w:kern w:val="0"/>
          <w:sz w:val="21"/>
          <w:szCs w:val="21"/>
          <w:lang w:val="en-US" w:eastAsia="zh-CN"/>
        </w:rPr>
        <w:t>项目要求</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1.服务时间：2年（2022年上学期、以学校开学时间为准-202</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年下学期到期、以学校放寒假为准）。</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2.投标范围：提供以上所有品类的供应。具体供货规格、供货数量、供货时间按采购人的需求计划确定，以签订的合同为准。采购人保留调整采购周期、采购规格、采购数量的权利。</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3.供货时间、规格、数量：在合同约定的有效期内，投标人按采购人采购计划订单，以日供、周供的方式进行配送。</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4.供货地点：在合同约定的有效期内，投标人按采购人指定地点进行配送</w:t>
      </w:r>
      <w:r>
        <w:rPr>
          <w:rFonts w:hint="eastAsia" w:ascii="宋体" w:hAnsi="宋体" w:eastAsia="宋体" w:cs="宋体"/>
          <w:color w:val="000000"/>
          <w:sz w:val="21"/>
          <w:szCs w:val="21"/>
          <w:lang w:eastAsia="zh-CN"/>
        </w:rPr>
        <w:t>。</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default" w:ascii="宋体" w:hAnsi="宋体" w:eastAsia="宋体" w:cs="宋体"/>
          <w:color w:val="000000"/>
          <w:sz w:val="21"/>
          <w:szCs w:val="21"/>
          <w:lang w:val="en-US" w:eastAsia="zh-CN"/>
        </w:rPr>
      </w:pPr>
      <w:r>
        <w:rPr>
          <w:rFonts w:hint="eastAsia" w:hAnsi="宋体" w:cs="宋体"/>
          <w:color w:val="000000"/>
          <w:sz w:val="21"/>
          <w:szCs w:val="21"/>
          <w:lang w:val="en-US" w:eastAsia="zh-CN"/>
        </w:rPr>
        <w:t>5.</w:t>
      </w:r>
      <w:r>
        <w:rPr>
          <w:rFonts w:hint="eastAsia" w:ascii="宋体" w:hAnsi="宋体" w:eastAsia="宋体" w:cs="宋体"/>
          <w:color w:val="000000"/>
          <w:sz w:val="21"/>
          <w:szCs w:val="21"/>
          <w:lang w:val="en-US" w:eastAsia="zh-CN"/>
        </w:rPr>
        <w:t>响应时间：供应商须在接到采购人订单后的次日上午7时20分之前将物资食材送达至</w:t>
      </w:r>
      <w:r>
        <w:rPr>
          <w:rFonts w:hint="eastAsia" w:ascii="宋体" w:hAnsi="宋体" w:eastAsia="宋体" w:cs="宋体"/>
          <w:color w:val="000000"/>
          <w:sz w:val="21"/>
          <w:szCs w:val="21"/>
        </w:rPr>
        <w:t>采购人</w:t>
      </w:r>
      <w:r>
        <w:rPr>
          <w:rFonts w:hint="eastAsia" w:ascii="宋体" w:hAnsi="宋体" w:eastAsia="宋体" w:cs="宋体"/>
          <w:color w:val="000000"/>
          <w:sz w:val="21"/>
          <w:szCs w:val="21"/>
          <w:lang w:val="en-US" w:eastAsia="zh-CN"/>
        </w:rPr>
        <w:t>指定地点。</w:t>
      </w:r>
    </w:p>
    <w:p>
      <w:pPr>
        <w:keepNext w:val="0"/>
        <w:keepLines w:val="0"/>
        <w:pageBreakBefore w:val="0"/>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lang w:val="en-US" w:eastAsia="zh-CN"/>
        </w:rPr>
        <w:t>三</w:t>
      </w:r>
      <w:r>
        <w:rPr>
          <w:rFonts w:hint="eastAsia" w:ascii="宋体" w:hAnsi="宋体" w:eastAsia="宋体" w:cs="宋体"/>
          <w:b/>
          <w:color w:val="000000"/>
          <w:kern w:val="0"/>
          <w:sz w:val="21"/>
          <w:szCs w:val="21"/>
        </w:rPr>
        <w:t>、供货及服务要求</w:t>
      </w:r>
    </w:p>
    <w:p>
      <w:pPr>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1.投标人按照与采购人签订合同的约定，将食堂原材料物资送至</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指定地点。</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2.投标人所供食堂包装食品、生鲜食品必须满足采购人标准要求，否则无条件退货。</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3.售后服务要求：</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各食堂在使用预包装食品、生鲜食品中如出现质量问题，投标人须及时响应并处理。投标人须在接到采购人的通知，1小时内赶到现场处理。</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4.供应商管理要求：</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default" w:eastAsia="宋体"/>
          <w:lang w:val="en-US" w:eastAsia="zh-CN"/>
        </w:rPr>
      </w:pPr>
      <w:r>
        <w:rPr>
          <w:rFonts w:hint="eastAsia" w:ascii="宋体" w:hAnsi="宋体" w:eastAsia="宋体" w:cs="宋体"/>
          <w:color w:val="000000"/>
          <w:sz w:val="21"/>
          <w:szCs w:val="21"/>
        </w:rPr>
        <w:t>采购人按照其双方签订的合同，每学期对中标候选人的业绩进行评价。评价不合格的供应商将取消其供货资格，其与采购人签订的购销合同将自行废止。</w:t>
      </w:r>
    </w:p>
    <w:p>
      <w:pPr>
        <w:keepNext w:val="0"/>
        <w:keepLines w:val="0"/>
        <w:pageBreakBefore w:val="0"/>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color w:val="000000"/>
          <w:kern w:val="0"/>
          <w:sz w:val="21"/>
          <w:szCs w:val="21"/>
          <w:lang w:val="en-US" w:eastAsia="zh-CN"/>
        </w:rPr>
      </w:pPr>
      <w:r>
        <w:rPr>
          <w:rFonts w:hint="eastAsia" w:ascii="宋体" w:hAnsi="宋体" w:eastAsia="宋体" w:cs="宋体"/>
          <w:b/>
          <w:color w:val="000000"/>
          <w:kern w:val="0"/>
          <w:sz w:val="21"/>
          <w:szCs w:val="21"/>
          <w:lang w:val="en-US" w:eastAsia="zh-CN"/>
        </w:rPr>
        <w:t>四、便民服务中心</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拟建立便民服务中心，经营期限按本项目服务期限标准执行，由采购人提供场地，物资配送供应商出资装修并负责经营，为全校师生提供食材物资供应。便民服务中心经营商不再组织招标，采购人从本项目中标候选人</w:t>
      </w:r>
      <w:r>
        <w:rPr>
          <w:rFonts w:hint="eastAsia" w:ascii="宋体" w:hAnsi="宋体" w:cs="宋体"/>
          <w:color w:val="000000"/>
          <w:sz w:val="21"/>
          <w:szCs w:val="21"/>
          <w:lang w:val="en-US" w:eastAsia="zh-CN"/>
        </w:rPr>
        <w:t>（综合排名前五名的）</w:t>
      </w:r>
      <w:r>
        <w:rPr>
          <w:rFonts w:hint="eastAsia" w:ascii="宋体" w:hAnsi="宋体" w:eastAsia="宋体" w:cs="宋体"/>
          <w:color w:val="000000"/>
          <w:sz w:val="21"/>
          <w:szCs w:val="21"/>
          <w:lang w:val="en-US" w:eastAsia="zh-CN"/>
        </w:rPr>
        <w:t>中，</w:t>
      </w:r>
      <w:r>
        <w:rPr>
          <w:rFonts w:hint="eastAsia" w:ascii="宋体" w:hAnsi="宋体" w:cs="宋体"/>
          <w:color w:val="000000"/>
          <w:sz w:val="21"/>
          <w:szCs w:val="21"/>
          <w:lang w:val="en-US" w:eastAsia="zh-CN"/>
        </w:rPr>
        <w:t>优先选择在永州市范围内有类似</w:t>
      </w:r>
      <w:r>
        <w:rPr>
          <w:rFonts w:hint="eastAsia" w:ascii="宋体" w:hAnsi="宋体" w:eastAsia="宋体" w:cs="宋体"/>
          <w:color w:val="000000"/>
          <w:sz w:val="21"/>
          <w:szCs w:val="21"/>
          <w:lang w:val="en-US" w:eastAsia="zh-CN"/>
        </w:rPr>
        <w:t>便民服务中心或超市</w:t>
      </w:r>
      <w:r>
        <w:rPr>
          <w:rFonts w:hint="eastAsia" w:ascii="宋体" w:hAnsi="宋体" w:cs="宋体"/>
          <w:color w:val="000000"/>
          <w:sz w:val="21"/>
          <w:szCs w:val="21"/>
          <w:lang w:val="en-US" w:eastAsia="zh-CN"/>
        </w:rPr>
        <w:t>的</w:t>
      </w:r>
      <w:r>
        <w:rPr>
          <w:rFonts w:hint="eastAsia" w:ascii="宋体" w:hAnsi="宋体" w:eastAsia="宋体" w:cs="宋体"/>
          <w:color w:val="000000"/>
          <w:sz w:val="21"/>
          <w:szCs w:val="21"/>
          <w:lang w:val="en-US" w:eastAsia="zh-CN"/>
        </w:rPr>
        <w:t>合法经营门店的供应商</w:t>
      </w:r>
      <w:r>
        <w:rPr>
          <w:rFonts w:hint="eastAsia" w:ascii="宋体" w:hAnsi="宋体" w:cs="宋体"/>
          <w:color w:val="000000"/>
          <w:sz w:val="21"/>
          <w:szCs w:val="21"/>
          <w:lang w:val="en-US" w:eastAsia="zh-CN"/>
        </w:rPr>
        <w:t>（提供营业执照复印件，并提供原件查验）</w:t>
      </w:r>
      <w:r>
        <w:rPr>
          <w:rFonts w:hint="eastAsia" w:ascii="宋体" w:hAnsi="宋体" w:eastAsia="宋体" w:cs="宋体"/>
          <w:color w:val="000000"/>
          <w:sz w:val="21"/>
          <w:szCs w:val="21"/>
          <w:lang w:val="en-US" w:eastAsia="zh-CN"/>
        </w:rPr>
        <w:t>为便民服务中心经营者</w:t>
      </w:r>
      <w:r>
        <w:rPr>
          <w:rFonts w:hint="eastAsia" w:ascii="宋体" w:hAnsi="宋体" w:cs="宋体"/>
          <w:color w:val="000000"/>
          <w:sz w:val="21"/>
          <w:szCs w:val="21"/>
          <w:lang w:val="en-US" w:eastAsia="zh-CN"/>
        </w:rPr>
        <w:t>，如排名前五名的中标供应商均无类似经营门店的，则按</w:t>
      </w:r>
      <w:r>
        <w:rPr>
          <w:rFonts w:hint="eastAsia" w:ascii="宋体" w:hAnsi="宋体" w:eastAsia="宋体" w:cs="宋体"/>
          <w:color w:val="000000"/>
          <w:sz w:val="21"/>
          <w:szCs w:val="21"/>
          <w:lang w:val="en-US" w:eastAsia="zh-CN"/>
        </w:rPr>
        <w:t>排名第一的中标候选人为便民服务中心经营者，如排名第一的中标候选人自愿放弃经营权，排名第二的候选人可顺延经营，以此类推。便民服务中心所售卖的商品低于零陵区步步高、卜蜂莲花、建都三家超市挂牌价的平均价及周边市场价，便民服务中心场地管理服务费1万元/2年，水电费用自理，另行签订合同。如以上方式不能确定便民服务中心经营商，则采购人另行组织招标</w:t>
      </w:r>
      <w:r>
        <w:rPr>
          <w:rFonts w:hint="eastAsia" w:ascii="宋体" w:hAnsi="宋体" w:cs="宋体"/>
          <w:color w:val="000000"/>
          <w:sz w:val="21"/>
          <w:szCs w:val="21"/>
          <w:lang w:val="en-US" w:eastAsia="zh-CN"/>
        </w:rPr>
        <w:t>。</w:t>
      </w:r>
    </w:p>
    <w:p>
      <w:pPr>
        <w:keepNext w:val="0"/>
        <w:keepLines w:val="0"/>
        <w:pageBreakBefore w:val="0"/>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color w:val="000000"/>
          <w:kern w:val="0"/>
          <w:sz w:val="21"/>
          <w:szCs w:val="21"/>
          <w:lang w:val="en-US" w:eastAsia="zh-CN"/>
        </w:rPr>
      </w:pPr>
      <w:r>
        <w:rPr>
          <w:rFonts w:hint="eastAsia" w:ascii="宋体" w:hAnsi="宋体" w:eastAsia="宋体" w:cs="宋体"/>
          <w:b/>
          <w:color w:val="000000"/>
          <w:kern w:val="0"/>
          <w:sz w:val="21"/>
          <w:szCs w:val="21"/>
          <w:lang w:val="en-US" w:eastAsia="zh-CN"/>
        </w:rPr>
        <w:t>五、消费帮扶承诺</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供应商须在投标文件中承诺协助采购方做好消费帮扶平台（含脱贫地区农副产品网络销售平台-832平台、湖南省政府采购电子卖场乡村振兴馆、湖南消费帮扶公共服务平台教育联采平台、达漫电商等渠道）的各项工作，承诺为采购人提供的物资配送结算金额其比例不低于当年上级主管部门文件要求的任务。</w:t>
      </w:r>
    </w:p>
    <w:p>
      <w:pPr>
        <w:keepNext w:val="0"/>
        <w:keepLines w:val="0"/>
        <w:pageBreakBefore w:val="0"/>
        <w:tabs>
          <w:tab w:val="left" w:pos="420"/>
        </w:tabs>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color w:val="000000"/>
          <w:kern w:val="0"/>
          <w:sz w:val="21"/>
          <w:szCs w:val="21"/>
          <w:lang w:val="en-US" w:eastAsia="zh-CN"/>
        </w:rPr>
      </w:pPr>
      <w:r>
        <w:rPr>
          <w:rFonts w:hint="eastAsia" w:ascii="宋体" w:hAnsi="宋体" w:eastAsia="宋体" w:cs="宋体"/>
          <w:b/>
          <w:color w:val="000000"/>
          <w:kern w:val="0"/>
          <w:sz w:val="21"/>
          <w:szCs w:val="21"/>
          <w:lang w:val="en-US" w:eastAsia="zh-CN"/>
        </w:rPr>
        <w:t>六、考核及备选替补</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成立物资配送供应考核小组对中标供应商的履约运行情况按以下考核指标进行综合考核，采购人有权剔除考核不达标的供应商，排名第4、5名的投标人可顺延为中标供应商。中标人必须建立并严格执行各项食品安全管理制度、食品卫生安全承诺、食品准入质量查验、食品进货检查验收、食品准入台账登记、从业人员健康管理、消费投诉处理以及不合格食品召回、销毁等，参与食品配送的工作人员必须持健康证上岗。采购人有权不定期抽查中标人的执行情况，并视问题的严重程度情况要求整改、处罚，直至解除服务合同。考核内容如下：</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1、配送质量</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凡有下列情形之一的，采购人可单方终止供应商的供货资格，解除服务合同，并没收中标供应商的履约保证金，造成责任事故的追究相关法律责任：</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1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①</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配送的食材腐败变质、油脂酸败、霉变、生虫、污秽不洁、混有异物或者其他感官性状异常，可能对人体健康有害的。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2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②</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配送的食材含有毒、有害物质或者被有毒、有害物质污染、可能对人体健康的。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3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配送的食材含有致病性寄生虫、微生物的，或者微生物毒素含量超过国家限定标准的。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4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④</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配送的食材掺假、掺杂、伪造或超过保质期限的。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5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⑤</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配送的食材没有检验合格证的。（蔬果类农药残留检测报告、猪肉瘦肉精检测、其他质料、食品必须符合卫生防疫部门检测标准）</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6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⑥</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将非食品当作食品的、加入非食用化学物质的或用非食品原料加工的。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7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⑦</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政府部门禁止出售的或其他不符合食品卫生标准和要求的。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8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⑧</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因配送食品质量问题引发重大食品安全事故的。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9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⑨</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与食堂承包商串通，配送假冒伪劣食品的。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（二）服务质量</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凡有下列情形之一的，采购人可单方终止供应商的供货资格，解除服务合同：</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1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①</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当月发生在接到采购人送货通知后，未按时、按质、按规格品牌及数量（缺斤少两）将所定物资配送到采购人指定的地点食堂三次以上的。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2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②</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当月配送需冷藏、冷冻食品未使用专用冷藏、冷冻车辆运输，运输过程中未保持安全的冷藏、冷冻温度范围一次以上的。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3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当月送货清单未详细注明配送物资的名称、单价、数量及送货清单</w:t>
      </w:r>
      <w:bookmarkStart w:id="143" w:name="_GoBack"/>
      <w:bookmarkEnd w:id="143"/>
      <w:r>
        <w:rPr>
          <w:rFonts w:hint="eastAsia" w:ascii="宋体" w:hAnsi="宋体" w:eastAsia="宋体" w:cs="宋体"/>
          <w:color w:val="000000" w:themeColor="text1"/>
          <w:sz w:val="21"/>
          <w:szCs w:val="21"/>
          <w:lang w:val="en-US" w:eastAsia="zh-CN"/>
          <w14:textFill>
            <w14:solidFill>
              <w14:schemeClr w14:val="tx1"/>
            </w14:solidFill>
          </w14:textFill>
        </w:rPr>
        <w:t>标记不清三次以上的。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4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④</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当月配送公司指定的送货专员未穿着便于辨认的工衣或配戴胸卡三次以上的。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5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⑤</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当月因配送公司送货专员服务态度不好，被采购人投诉三次以上的。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6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⑥</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当月因配送公司违反采购人校园交通秩序管理办法、违规停车三次以上的。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7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⑦</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擅自转包、分包的。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8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⑧</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一个月内验收不合格三次及以上的。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9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⑨</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配送单位存在严重安全隐患整改不到位的。</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3" w:firstLineChars="196"/>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lang w:val="en-US" w:eastAsia="zh-CN"/>
        </w:rPr>
        <w:t>七</w:t>
      </w:r>
      <w:r>
        <w:rPr>
          <w:rFonts w:hint="eastAsia" w:ascii="宋体" w:hAnsi="宋体" w:eastAsia="宋体" w:cs="宋体"/>
          <w:b/>
          <w:color w:val="000000"/>
          <w:kern w:val="0"/>
          <w:sz w:val="21"/>
          <w:szCs w:val="21"/>
        </w:rPr>
        <w:t>、结算方式</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本项目不含预付款，每月按照采购人验收的实际数量和双方规定价格结算；结算时，双方对当月供应金额核对无误后，</w:t>
      </w:r>
      <w:r>
        <w:rPr>
          <w:rFonts w:hint="eastAsia" w:ascii="宋体" w:hAnsi="宋体" w:eastAsia="宋体" w:cs="宋体"/>
          <w:color w:val="000000"/>
          <w:sz w:val="21"/>
          <w:szCs w:val="21"/>
        </w:rPr>
        <w:t>根据验收结果</w:t>
      </w:r>
      <w:r>
        <w:rPr>
          <w:rFonts w:hint="eastAsia" w:ascii="宋体" w:hAnsi="宋体" w:eastAsia="宋体" w:cs="宋体"/>
          <w:color w:val="000000"/>
          <w:sz w:val="21"/>
          <w:szCs w:val="21"/>
          <w:lang w:eastAsia="zh-CN"/>
        </w:rPr>
        <w:t>，供应商提供</w:t>
      </w:r>
      <w:r>
        <w:rPr>
          <w:rFonts w:hint="eastAsia" w:ascii="宋体" w:hAnsi="宋体" w:eastAsia="宋体" w:cs="宋体"/>
          <w:color w:val="000000"/>
          <w:sz w:val="21"/>
          <w:szCs w:val="21"/>
        </w:rPr>
        <w:t>合规发票，</w:t>
      </w:r>
      <w:r>
        <w:rPr>
          <w:rFonts w:hint="eastAsia" w:ascii="宋体" w:hAnsi="宋体" w:eastAsia="宋体" w:cs="宋体"/>
          <w:color w:val="000000"/>
          <w:sz w:val="21"/>
          <w:szCs w:val="21"/>
          <w:lang w:val="en-US" w:eastAsia="zh-CN"/>
        </w:rPr>
        <w:t>采购人依据相关的财务支付程序向中标供应商付款，费用为物资配送所需的的税收、储存、运输、配送、装卸等包干费用。</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3" w:firstLineChars="196"/>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lang w:val="en-US" w:eastAsia="zh-CN"/>
        </w:rPr>
        <w:t>八</w:t>
      </w:r>
      <w:r>
        <w:rPr>
          <w:rFonts w:hint="eastAsia" w:ascii="宋体" w:hAnsi="宋体" w:eastAsia="宋体" w:cs="宋体"/>
          <w:b/>
          <w:color w:val="000000"/>
          <w:kern w:val="0"/>
          <w:sz w:val="21"/>
          <w:szCs w:val="21"/>
        </w:rPr>
        <w:t>、交货时间及地点</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1、交货时间：按采购人需求计划交货。</w:t>
      </w:r>
    </w:p>
    <w:p>
      <w:pPr>
        <w:keepNext w:val="0"/>
        <w:keepLines w:val="0"/>
        <w:pageBreakBefore w:val="0"/>
        <w:tabs>
          <w:tab w:val="left" w:pos="420"/>
          <w:tab w:val="left" w:pos="851"/>
          <w:tab w:val="left" w:pos="919"/>
        </w:tabs>
        <w:kinsoku/>
        <w:wordWrap/>
        <w:overflowPunct/>
        <w:topLinePunct w:val="0"/>
        <w:bidi w:val="0"/>
        <w:adjustRightInd w:val="0"/>
        <w:snapToGrid w:val="0"/>
        <w:spacing w:line="360" w:lineRule="auto"/>
        <w:ind w:firstLine="411" w:firstLineChars="196"/>
        <w:textAlignment w:val="auto"/>
        <w:rPr>
          <w:rFonts w:hint="eastAsia" w:ascii="宋体" w:hAnsi="宋体" w:eastAsia="宋体" w:cs="宋体"/>
          <w:b/>
          <w:color w:val="000000"/>
          <w:sz w:val="21"/>
          <w:szCs w:val="21"/>
        </w:rPr>
      </w:pPr>
      <w:r>
        <w:rPr>
          <w:rFonts w:hint="eastAsia" w:ascii="宋体" w:hAnsi="宋体" w:eastAsia="宋体" w:cs="宋体"/>
          <w:color w:val="000000"/>
          <w:sz w:val="21"/>
          <w:szCs w:val="21"/>
        </w:rPr>
        <w:t>2、交货地点：采购人指定地点。</w:t>
      </w:r>
    </w:p>
    <w:bookmarkEnd w:id="105"/>
    <w:p>
      <w:pPr>
        <w:rPr>
          <w:rFonts w:ascii="黑体" w:hAnsi="华文中宋" w:eastAsia="黑体"/>
          <w:b/>
          <w:bCs/>
          <w:szCs w:val="21"/>
        </w:rPr>
      </w:pPr>
    </w:p>
    <w:p>
      <w:pPr>
        <w:pStyle w:val="2"/>
        <w:rPr>
          <w:rFonts w:ascii="黑体" w:hAnsi="华文中宋" w:eastAsia="黑体"/>
          <w:b/>
          <w:bCs/>
          <w:szCs w:val="21"/>
        </w:rPr>
      </w:pPr>
    </w:p>
    <w:p>
      <w:pPr>
        <w:rPr>
          <w:rFonts w:ascii="黑体" w:hAnsi="华文中宋" w:eastAsia="黑体"/>
          <w:b/>
          <w:bCs/>
          <w:szCs w:val="21"/>
        </w:rPr>
      </w:pPr>
    </w:p>
    <w:p>
      <w:pPr>
        <w:pStyle w:val="2"/>
        <w:rPr>
          <w:rFonts w:ascii="黑体" w:hAnsi="华文中宋" w:eastAsia="黑体"/>
          <w:b/>
          <w:bCs/>
          <w:szCs w:val="21"/>
        </w:rPr>
      </w:pPr>
    </w:p>
    <w:p>
      <w:pPr>
        <w:rPr>
          <w:rFonts w:ascii="黑体" w:hAnsi="华文中宋" w:eastAsia="黑体"/>
          <w:b/>
          <w:bCs/>
          <w:szCs w:val="21"/>
        </w:rPr>
      </w:pPr>
    </w:p>
    <w:p>
      <w:pPr>
        <w:pStyle w:val="2"/>
        <w:rPr>
          <w:rFonts w:ascii="黑体" w:hAnsi="华文中宋" w:eastAsia="黑体"/>
          <w:b/>
          <w:bCs/>
          <w:szCs w:val="21"/>
        </w:rPr>
      </w:pPr>
    </w:p>
    <w:p>
      <w:pPr>
        <w:rPr>
          <w:rFonts w:ascii="黑体" w:hAnsi="华文中宋" w:eastAsia="黑体"/>
          <w:b/>
          <w:bCs/>
          <w:szCs w:val="21"/>
        </w:rPr>
      </w:pPr>
    </w:p>
    <w:p>
      <w:pPr>
        <w:pStyle w:val="2"/>
        <w:rPr>
          <w:rFonts w:ascii="黑体" w:hAnsi="华文中宋" w:eastAsia="黑体"/>
          <w:b/>
          <w:bCs/>
          <w:szCs w:val="21"/>
        </w:rPr>
      </w:pPr>
    </w:p>
    <w:p/>
    <w:p>
      <w:pPr>
        <w:pStyle w:val="2"/>
      </w:pPr>
    </w:p>
    <w:p>
      <w:pPr>
        <w:pStyle w:val="2"/>
        <w:rPr>
          <w:rFonts w:ascii="黑体" w:hAnsi="华文中宋" w:eastAsia="黑体"/>
          <w:b/>
          <w:bCs/>
          <w:szCs w:val="21"/>
        </w:rPr>
      </w:pPr>
    </w:p>
    <w:p>
      <w:pPr>
        <w:pStyle w:val="2"/>
        <w:ind w:left="0" w:leftChars="0" w:firstLine="0" w:firstLineChars="0"/>
      </w:pPr>
    </w:p>
    <w:p>
      <w:pPr>
        <w:pStyle w:val="22"/>
        <w:adjustRightInd w:val="0"/>
        <w:snapToGrid w:val="0"/>
        <w:spacing w:line="360" w:lineRule="auto"/>
        <w:jc w:val="center"/>
        <w:outlineLvl w:val="0"/>
        <w:rPr>
          <w:rFonts w:ascii="黑体" w:hAnsi="华文中宋" w:eastAsia="黑体"/>
          <w:b/>
          <w:sz w:val="32"/>
          <w:szCs w:val="32"/>
        </w:rPr>
      </w:pPr>
      <w:bookmarkStart w:id="106" w:name="_Toc20651236"/>
      <w:r>
        <w:rPr>
          <w:rFonts w:hint="eastAsia" w:ascii="黑体" w:hAnsi="华文中宋" w:eastAsia="黑体"/>
          <w:b/>
          <w:sz w:val="32"/>
          <w:szCs w:val="32"/>
        </w:rPr>
        <w:t>第六章 采购合同</w:t>
      </w:r>
      <w:bookmarkEnd w:id="106"/>
    </w:p>
    <w:p>
      <w:pPr>
        <w:spacing w:line="400" w:lineRule="exact"/>
        <w:rPr>
          <w:rFonts w:hint="eastAsia" w:ascii="宋体" w:hAnsi="宋体" w:eastAsia="宋体" w:cs="宋体"/>
          <w:bCs/>
          <w:color w:val="000000"/>
          <w:sz w:val="21"/>
          <w:szCs w:val="21"/>
        </w:rPr>
      </w:pPr>
      <w:bookmarkStart w:id="107" w:name="_Toc20651240"/>
      <w:r>
        <w:rPr>
          <w:rFonts w:hint="eastAsia" w:ascii="宋体" w:hAnsi="宋体" w:eastAsia="宋体" w:cs="宋体"/>
          <w:bCs/>
          <w:color w:val="000000"/>
          <w:sz w:val="21"/>
          <w:szCs w:val="21"/>
        </w:rPr>
        <w:t xml:space="preserve">甲方：                                         </w:t>
      </w:r>
    </w:p>
    <w:p>
      <w:pPr>
        <w:spacing w:line="40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乙方：</w:t>
      </w:r>
    </w:p>
    <w:p>
      <w:pPr>
        <w:spacing w:line="40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乙方参加甲方</w:t>
      </w:r>
      <w:r>
        <w:rPr>
          <w:rFonts w:hint="eastAsia" w:ascii="宋体" w:hAnsi="宋体" w:eastAsia="宋体" w:cs="宋体"/>
          <w:bCs/>
          <w:color w:val="000000"/>
          <w:sz w:val="21"/>
          <w:szCs w:val="21"/>
          <w:u w:val="single"/>
        </w:rPr>
        <w:t xml:space="preserve">                                </w:t>
      </w:r>
      <w:r>
        <w:rPr>
          <w:rFonts w:hint="eastAsia" w:ascii="宋体" w:hAnsi="宋体" w:eastAsia="宋体" w:cs="宋体"/>
          <w:bCs/>
          <w:color w:val="000000"/>
          <w:sz w:val="21"/>
          <w:szCs w:val="21"/>
        </w:rPr>
        <w:t>项目公开招标，并成为本项目中标人，经友好协商，甲乙双方就食堂原材料购销事项，达成如下协议：</w:t>
      </w:r>
    </w:p>
    <w:p>
      <w:pPr>
        <w:tabs>
          <w:tab w:val="left" w:pos="5400"/>
        </w:tabs>
        <w:spacing w:line="400" w:lineRule="exact"/>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一、主要产品名称、规格、计量单位</w:t>
      </w:r>
    </w:p>
    <w:tbl>
      <w:tblPr>
        <w:tblStyle w:val="42"/>
        <w:tblW w:w="9214" w:type="dxa"/>
        <w:tblInd w:w="-127" w:type="dxa"/>
        <w:tblLayout w:type="fixed"/>
        <w:tblCellMar>
          <w:top w:w="0" w:type="dxa"/>
          <w:left w:w="0" w:type="dxa"/>
          <w:bottom w:w="0" w:type="dxa"/>
          <w:right w:w="0" w:type="dxa"/>
        </w:tblCellMar>
      </w:tblPr>
      <w:tblGrid>
        <w:gridCol w:w="568"/>
        <w:gridCol w:w="1134"/>
        <w:gridCol w:w="2340"/>
        <w:gridCol w:w="954"/>
        <w:gridCol w:w="1296"/>
        <w:gridCol w:w="1356"/>
        <w:gridCol w:w="1566"/>
      </w:tblGrid>
      <w:tr>
        <w:tblPrEx>
          <w:tblCellMar>
            <w:top w:w="0" w:type="dxa"/>
            <w:left w:w="0" w:type="dxa"/>
            <w:bottom w:w="0" w:type="dxa"/>
            <w:right w:w="0" w:type="dxa"/>
          </w:tblCellMar>
        </w:tblPrEx>
        <w:trPr>
          <w:trHeight w:val="407" w:hRule="atLeast"/>
        </w:trPr>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序号</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名称</w:t>
            </w:r>
          </w:p>
        </w:tc>
        <w:tc>
          <w:tcPr>
            <w:tcW w:w="234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规格</w:t>
            </w:r>
          </w:p>
        </w:tc>
        <w:tc>
          <w:tcPr>
            <w:tcW w:w="954"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计量     单位</w:t>
            </w:r>
          </w:p>
        </w:tc>
        <w:tc>
          <w:tcPr>
            <w:tcW w:w="129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中标         优惠率%</w:t>
            </w:r>
          </w:p>
        </w:tc>
        <w:tc>
          <w:tcPr>
            <w:tcW w:w="135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交货期</w:t>
            </w:r>
          </w:p>
        </w:tc>
        <w:tc>
          <w:tcPr>
            <w:tcW w:w="156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交货地点</w:t>
            </w:r>
          </w:p>
        </w:tc>
      </w:tr>
      <w:tr>
        <w:tblPrEx>
          <w:tblCellMar>
            <w:top w:w="0" w:type="dxa"/>
            <w:left w:w="0" w:type="dxa"/>
            <w:bottom w:w="0" w:type="dxa"/>
            <w:right w:w="0" w:type="dxa"/>
          </w:tblCellMar>
        </w:tblPrEx>
        <w:trPr>
          <w:trHeight w:val="629" w:hRule="atLeast"/>
        </w:trPr>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eastAsia="zh-CN"/>
              </w:rPr>
              <w:t>预包装食品</w:t>
            </w: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按</w:t>
            </w: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日采购订单     要求及数量供货</w:t>
            </w: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公斤、件、瓶</w:t>
            </w:r>
          </w:p>
        </w:tc>
        <w:tc>
          <w:tcPr>
            <w:tcW w:w="12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按采购订单 执行</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指定地点</w:t>
            </w:r>
          </w:p>
        </w:tc>
      </w:tr>
      <w:tr>
        <w:tblPrEx>
          <w:tblCellMar>
            <w:top w:w="0" w:type="dxa"/>
            <w:left w:w="0" w:type="dxa"/>
            <w:bottom w:w="0" w:type="dxa"/>
            <w:right w:w="0" w:type="dxa"/>
          </w:tblCellMar>
        </w:tblPrEx>
        <w:trPr>
          <w:trHeight w:val="629" w:hRule="atLeast"/>
        </w:trPr>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eastAsia="zh-CN"/>
              </w:rPr>
              <w:t>果蔬类</w:t>
            </w: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w:t>
            </w: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日采购订单     要求及数量供货</w:t>
            </w: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公斤、件、瓶</w:t>
            </w:r>
          </w:p>
        </w:tc>
        <w:tc>
          <w:tcPr>
            <w:tcW w:w="12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按采购订单 执行</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指定地点</w:t>
            </w:r>
          </w:p>
        </w:tc>
      </w:tr>
      <w:tr>
        <w:tblPrEx>
          <w:tblCellMar>
            <w:top w:w="0" w:type="dxa"/>
            <w:left w:w="0" w:type="dxa"/>
            <w:bottom w:w="0" w:type="dxa"/>
            <w:right w:w="0" w:type="dxa"/>
          </w:tblCellMar>
        </w:tblPrEx>
        <w:trPr>
          <w:trHeight w:val="629" w:hRule="atLeast"/>
        </w:trPr>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eastAsia="zh-CN"/>
              </w:rPr>
              <w:t>家禽、水海产品类</w:t>
            </w: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w:t>
            </w: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日采购订单     要求及数量供货</w:t>
            </w: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公斤、件、瓶</w:t>
            </w:r>
          </w:p>
        </w:tc>
        <w:tc>
          <w:tcPr>
            <w:tcW w:w="12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按采购订单 执行</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指定地点</w:t>
            </w:r>
          </w:p>
        </w:tc>
      </w:tr>
      <w:tr>
        <w:tblPrEx>
          <w:tblCellMar>
            <w:top w:w="0" w:type="dxa"/>
            <w:left w:w="0" w:type="dxa"/>
            <w:bottom w:w="0" w:type="dxa"/>
            <w:right w:w="0" w:type="dxa"/>
          </w:tblCellMar>
        </w:tblPrEx>
        <w:trPr>
          <w:trHeight w:val="629" w:hRule="atLeast"/>
        </w:trPr>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eastAsia="zh-CN"/>
              </w:rPr>
              <w:t>家畜类</w:t>
            </w: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w:t>
            </w: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日采购订单     要求及数量供货</w:t>
            </w: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公斤、件、瓶</w:t>
            </w:r>
          </w:p>
        </w:tc>
        <w:tc>
          <w:tcPr>
            <w:tcW w:w="12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按采购订单 执行</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40" w:lineRule="exact"/>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采购人</w:t>
            </w:r>
            <w:r>
              <w:rPr>
                <w:rFonts w:hint="eastAsia" w:ascii="宋体" w:hAnsi="宋体" w:eastAsia="宋体" w:cs="宋体"/>
                <w:bCs/>
                <w:color w:val="000000"/>
                <w:kern w:val="0"/>
                <w:sz w:val="21"/>
                <w:szCs w:val="21"/>
              </w:rPr>
              <w:t>指定地点</w:t>
            </w:r>
          </w:p>
        </w:tc>
      </w:tr>
      <w:tr>
        <w:tblPrEx>
          <w:tblCellMar>
            <w:top w:w="0" w:type="dxa"/>
            <w:left w:w="0" w:type="dxa"/>
            <w:bottom w:w="0" w:type="dxa"/>
            <w:right w:w="0" w:type="dxa"/>
          </w:tblCellMar>
        </w:tblPrEx>
        <w:trPr>
          <w:trHeight w:val="530" w:hRule="atLeast"/>
        </w:trPr>
        <w:tc>
          <w:tcPr>
            <w:tcW w:w="9214" w:type="dxa"/>
            <w:gridSpan w:val="7"/>
            <w:tcBorders>
              <w:top w:val="single" w:color="000000" w:sz="4" w:space="0"/>
              <w:left w:val="single" w:color="000000" w:sz="4" w:space="0"/>
              <w:bottom w:val="single" w:color="000000" w:sz="4" w:space="0"/>
              <w:right w:val="single" w:color="000000" w:sz="4" w:space="0"/>
            </w:tcBorders>
            <w:shd w:val="clear" w:color="000000" w:fill="FFFFFF"/>
            <w:noWrap w:val="0"/>
            <w:tcMar>
              <w:top w:w="15" w:type="dxa"/>
              <w:left w:w="15" w:type="dxa"/>
              <w:right w:w="15" w:type="dxa"/>
            </w:tcMar>
            <w:vAlign w:val="center"/>
          </w:tcPr>
          <w:p>
            <w:pPr>
              <w:widowControl/>
              <w:snapToGrid w:val="0"/>
              <w:spacing w:line="400" w:lineRule="exact"/>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rPr>
              <w:t xml:space="preserve">  备注：中标优惠率以市场价格（</w:t>
            </w:r>
            <w:r>
              <w:rPr>
                <w:rFonts w:hint="eastAsia" w:ascii="宋体" w:hAnsi="宋体" w:eastAsia="宋体" w:cs="宋体"/>
                <w:bCs/>
                <w:color w:val="000000"/>
                <w:kern w:val="0"/>
                <w:sz w:val="21"/>
                <w:szCs w:val="21"/>
                <w:lang w:val="en-US" w:eastAsia="zh-CN"/>
              </w:rPr>
              <w:t>零陵</w:t>
            </w:r>
            <w:r>
              <w:rPr>
                <w:rFonts w:hint="eastAsia" w:ascii="宋体" w:hAnsi="宋体" w:eastAsia="宋体" w:cs="宋体"/>
                <w:bCs/>
                <w:color w:val="000000"/>
                <w:kern w:val="0"/>
                <w:sz w:val="21"/>
                <w:szCs w:val="21"/>
              </w:rPr>
              <w:t>区</w:t>
            </w:r>
            <w:r>
              <w:rPr>
                <w:rFonts w:hint="eastAsia" w:ascii="宋体" w:hAnsi="宋体" w:eastAsia="宋体" w:cs="宋体"/>
                <w:bCs/>
                <w:color w:val="000000"/>
                <w:kern w:val="0"/>
                <w:sz w:val="21"/>
                <w:szCs w:val="21"/>
                <w:lang w:val="en-US" w:eastAsia="zh-CN"/>
              </w:rPr>
              <w:t>步步高、卜蜂莲花、建都超市</w:t>
            </w:r>
            <w:r>
              <w:rPr>
                <w:rFonts w:hint="eastAsia" w:ascii="宋体" w:hAnsi="宋体" w:cs="宋体"/>
                <w:bCs/>
                <w:color w:val="000000"/>
                <w:kern w:val="0"/>
                <w:sz w:val="21"/>
                <w:szCs w:val="21"/>
                <w:lang w:val="en-US" w:eastAsia="zh-CN"/>
              </w:rPr>
              <w:t>挂牌价</w:t>
            </w:r>
            <w:r>
              <w:rPr>
                <w:rFonts w:hint="eastAsia" w:ascii="宋体" w:hAnsi="宋体" w:eastAsia="宋体" w:cs="宋体"/>
                <w:bCs/>
                <w:color w:val="000000"/>
                <w:kern w:val="0"/>
                <w:sz w:val="21"/>
                <w:szCs w:val="21"/>
                <w:lang w:val="en-US" w:eastAsia="zh-CN"/>
              </w:rPr>
              <w:t>的</w:t>
            </w:r>
            <w:r>
              <w:rPr>
                <w:rFonts w:hint="eastAsia" w:ascii="宋体" w:hAnsi="宋体" w:eastAsia="宋体" w:cs="宋体"/>
                <w:bCs/>
                <w:color w:val="000000"/>
                <w:kern w:val="0"/>
                <w:sz w:val="21"/>
                <w:szCs w:val="21"/>
              </w:rPr>
              <w:t>平均价）为基准，进行优惠。其它未列举的包装类食品物资由乙方供货，在采购周期内价格按</w:t>
            </w:r>
            <w:r>
              <w:rPr>
                <w:rFonts w:hint="eastAsia" w:ascii="宋体" w:hAnsi="宋体" w:eastAsia="宋体" w:cs="宋体"/>
                <w:bCs/>
                <w:color w:val="000000"/>
                <w:kern w:val="0"/>
                <w:sz w:val="21"/>
                <w:szCs w:val="21"/>
                <w:lang w:eastAsia="zh-CN"/>
              </w:rPr>
              <w:t>预包装食品的中标</w:t>
            </w:r>
            <w:r>
              <w:rPr>
                <w:rFonts w:hint="eastAsia" w:ascii="宋体" w:hAnsi="宋体" w:eastAsia="宋体" w:cs="宋体"/>
                <w:bCs/>
                <w:color w:val="000000"/>
                <w:kern w:val="0"/>
                <w:sz w:val="21"/>
                <w:szCs w:val="21"/>
              </w:rPr>
              <w:t>优惠</w:t>
            </w:r>
            <w:r>
              <w:rPr>
                <w:rFonts w:hint="eastAsia" w:ascii="宋体" w:hAnsi="宋体" w:eastAsia="宋体" w:cs="宋体"/>
                <w:bCs/>
                <w:color w:val="000000"/>
                <w:kern w:val="0"/>
                <w:sz w:val="21"/>
                <w:szCs w:val="21"/>
                <w:lang w:eastAsia="zh-CN"/>
              </w:rPr>
              <w:t>率</w:t>
            </w:r>
            <w:r>
              <w:rPr>
                <w:rFonts w:hint="eastAsia" w:ascii="宋体" w:hAnsi="宋体" w:eastAsia="宋体" w:cs="宋体"/>
                <w:bCs/>
                <w:color w:val="000000"/>
                <w:kern w:val="0"/>
                <w:sz w:val="21"/>
                <w:szCs w:val="21"/>
              </w:rPr>
              <w:t xml:space="preserve">  执行</w:t>
            </w:r>
            <w:r>
              <w:rPr>
                <w:rFonts w:hint="eastAsia" w:ascii="宋体" w:hAnsi="宋体" w:cs="宋体"/>
                <w:bCs/>
                <w:color w:val="000000"/>
                <w:kern w:val="0"/>
                <w:sz w:val="21"/>
                <w:szCs w:val="21"/>
                <w:lang w:eastAsia="zh-CN"/>
              </w:rPr>
              <w:t>。</w:t>
            </w:r>
          </w:p>
        </w:tc>
      </w:tr>
    </w:tbl>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1、本次采购总数量和各品种数量均为预计数量，甲方可根据实际需要调整需求总数量和各品种数量，也可根据需要调整采购部分其他品种（在乙方可售品种范围之列调整）。</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2、合同期内乙方凭甲方的通知供货，具体品种采购数量以甲方的电话或书面通知为准。</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rPr>
        <w:t>3、乙方应根据甲方指定的送货时间将物资送到各个食堂。超过规定时间，乙方必须赔偿甲方食堂所造成的损失</w:t>
      </w:r>
      <w:r>
        <w:rPr>
          <w:rFonts w:hint="eastAsia" w:ascii="宋体" w:hAnsi="宋体" w:eastAsia="宋体" w:cs="宋体"/>
          <w:bCs/>
          <w:color w:val="FF0000"/>
          <w:sz w:val="21"/>
          <w:szCs w:val="21"/>
          <w:lang w:eastAsia="zh-CN"/>
        </w:rPr>
        <w:t>。</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二、</w:t>
      </w:r>
      <w:r>
        <w:rPr>
          <w:rFonts w:hint="eastAsia" w:ascii="宋体" w:hAnsi="宋体" w:eastAsia="宋体" w:cs="宋体"/>
          <w:b/>
          <w:bCs/>
          <w:color w:val="000000"/>
          <w:sz w:val="21"/>
          <w:szCs w:val="21"/>
        </w:rPr>
        <w:t>采购价格确定</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合同期内乙方应维持中选优惠率不变，货款结算公式:采购数量*市场</w:t>
      </w:r>
      <w:r>
        <w:rPr>
          <w:rFonts w:hint="eastAsia" w:ascii="宋体" w:hAnsi="宋体" w:cs="宋体"/>
          <w:bCs/>
          <w:color w:val="000000"/>
          <w:sz w:val="21"/>
          <w:szCs w:val="21"/>
          <w:lang w:val="en-US" w:eastAsia="zh-CN"/>
        </w:rPr>
        <w:t>挂牌</w:t>
      </w:r>
      <w:r>
        <w:rPr>
          <w:rFonts w:hint="eastAsia" w:ascii="宋体" w:hAnsi="宋体" w:eastAsia="宋体" w:cs="宋体"/>
          <w:bCs/>
          <w:color w:val="000000"/>
          <w:sz w:val="21"/>
          <w:szCs w:val="21"/>
        </w:rPr>
        <w:t>价*（100%-中选优惠率）=货款。</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1、采购价的确定：品目一从签定合同之日起每一个月为一个周期确定一次，品目二、三、四每一周确定一次，即每次由甲方</w:t>
      </w:r>
      <w:r>
        <w:rPr>
          <w:rFonts w:hint="eastAsia" w:ascii="宋体" w:hAnsi="宋体" w:eastAsia="宋体" w:cs="宋体"/>
          <w:bCs/>
          <w:color w:val="auto"/>
          <w:sz w:val="21"/>
          <w:szCs w:val="21"/>
        </w:rPr>
        <w:t>在当地区域</w:t>
      </w:r>
      <w:r>
        <w:rPr>
          <w:rFonts w:hint="eastAsia" w:ascii="宋体" w:hAnsi="宋体" w:eastAsia="宋体" w:cs="宋体"/>
          <w:bCs/>
          <w:color w:val="auto"/>
          <w:sz w:val="21"/>
          <w:szCs w:val="21"/>
          <w:lang w:val="en-US" w:eastAsia="zh-CN"/>
        </w:rPr>
        <w:t>选定三</w:t>
      </w:r>
      <w:r>
        <w:rPr>
          <w:rFonts w:hint="eastAsia" w:ascii="宋体" w:hAnsi="宋体" w:eastAsia="宋体" w:cs="宋体"/>
          <w:bCs/>
          <w:color w:val="auto"/>
          <w:sz w:val="21"/>
          <w:szCs w:val="21"/>
        </w:rPr>
        <w:t>家批发市场</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超市或者</w:t>
      </w:r>
      <w:r>
        <w:rPr>
          <w:rFonts w:hint="eastAsia" w:ascii="宋体" w:hAnsi="宋体" w:eastAsia="宋体" w:cs="宋体"/>
          <w:bCs/>
          <w:color w:val="auto"/>
          <w:sz w:val="21"/>
          <w:szCs w:val="21"/>
        </w:rPr>
        <w:t>销售企业，以</w:t>
      </w:r>
      <w:r>
        <w:rPr>
          <w:rFonts w:hint="eastAsia" w:ascii="宋体" w:hAnsi="宋体" w:eastAsia="宋体" w:cs="宋体"/>
          <w:bCs/>
          <w:color w:val="auto"/>
          <w:sz w:val="21"/>
          <w:szCs w:val="21"/>
          <w:lang w:val="en-US" w:eastAsia="zh-CN"/>
        </w:rPr>
        <w:t>三</w:t>
      </w:r>
      <w:r>
        <w:rPr>
          <w:rFonts w:hint="eastAsia" w:ascii="宋体" w:hAnsi="宋体" w:eastAsia="宋体" w:cs="宋体"/>
          <w:bCs/>
          <w:color w:val="auto"/>
          <w:sz w:val="21"/>
          <w:szCs w:val="21"/>
        </w:rPr>
        <w:t>家批发市场</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超市或者</w:t>
      </w:r>
      <w:r>
        <w:rPr>
          <w:rFonts w:hint="eastAsia" w:ascii="宋体" w:hAnsi="宋体" w:eastAsia="宋体" w:cs="宋体"/>
          <w:bCs/>
          <w:color w:val="auto"/>
          <w:sz w:val="21"/>
          <w:szCs w:val="21"/>
        </w:rPr>
        <w:t>销售企业相同产品、品牌、型号、规格、厂家的当日</w:t>
      </w:r>
      <w:r>
        <w:rPr>
          <w:rFonts w:hint="eastAsia" w:ascii="宋体" w:hAnsi="宋体" w:eastAsia="宋体" w:cs="宋体"/>
          <w:bCs/>
          <w:color w:val="auto"/>
          <w:sz w:val="21"/>
          <w:szCs w:val="21"/>
          <w:lang w:val="en-US" w:eastAsia="zh-CN"/>
        </w:rPr>
        <w:t>价格的平均值</w:t>
      </w:r>
      <w:r>
        <w:rPr>
          <w:rFonts w:hint="eastAsia" w:ascii="宋体" w:hAnsi="宋体" w:eastAsia="宋体" w:cs="宋体"/>
          <w:bCs/>
          <w:color w:val="auto"/>
          <w:sz w:val="21"/>
          <w:szCs w:val="21"/>
        </w:rPr>
        <w:t>为本周期的市场</w:t>
      </w:r>
      <w:r>
        <w:rPr>
          <w:rFonts w:hint="eastAsia" w:ascii="宋体" w:hAnsi="宋体" w:cs="宋体"/>
          <w:bCs/>
          <w:color w:val="auto"/>
          <w:sz w:val="21"/>
          <w:szCs w:val="21"/>
          <w:lang w:val="en-US" w:eastAsia="zh-CN"/>
        </w:rPr>
        <w:t>挂牌</w:t>
      </w:r>
      <w:r>
        <w:rPr>
          <w:rFonts w:hint="eastAsia" w:ascii="宋体" w:hAnsi="宋体" w:eastAsia="宋体" w:cs="宋体"/>
          <w:bCs/>
          <w:color w:val="auto"/>
          <w:sz w:val="21"/>
          <w:szCs w:val="21"/>
        </w:rPr>
        <w:t>价</w:t>
      </w:r>
      <w:r>
        <w:rPr>
          <w:rFonts w:hint="eastAsia" w:ascii="宋体" w:hAnsi="宋体" w:eastAsia="宋体" w:cs="宋体"/>
          <w:color w:val="auto"/>
          <w:sz w:val="21"/>
          <w:szCs w:val="21"/>
        </w:rPr>
        <w:t>基数，</w:t>
      </w:r>
      <w:r>
        <w:rPr>
          <w:rFonts w:hint="eastAsia" w:ascii="宋体" w:hAnsi="宋体" w:eastAsia="宋体" w:cs="宋体"/>
          <w:color w:val="000000"/>
          <w:sz w:val="21"/>
          <w:szCs w:val="21"/>
        </w:rPr>
        <w:t>再*（100%-中标优惠率）为该品类的采购价，以此类推。</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2、单个品种因市场价格等因素发生波动超出或低于周期内确定的市场</w:t>
      </w:r>
      <w:r>
        <w:rPr>
          <w:rFonts w:hint="eastAsia" w:ascii="宋体" w:hAnsi="宋体" w:cs="宋体"/>
          <w:bCs/>
          <w:color w:val="000000"/>
          <w:sz w:val="21"/>
          <w:szCs w:val="21"/>
          <w:lang w:val="en-US" w:eastAsia="zh-CN"/>
        </w:rPr>
        <w:t>挂牌价</w:t>
      </w:r>
      <w:r>
        <w:rPr>
          <w:rFonts w:hint="eastAsia" w:ascii="宋体" w:hAnsi="宋体" w:eastAsia="宋体" w:cs="宋体"/>
          <w:bCs/>
          <w:color w:val="000000"/>
          <w:sz w:val="21"/>
          <w:szCs w:val="21"/>
        </w:rPr>
        <w:t>10%的，双方均可启动调价申报机制，由双方根据市场行情对特定物资重新确定采购价格。</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三、</w:t>
      </w:r>
      <w:r>
        <w:rPr>
          <w:rFonts w:hint="eastAsia" w:ascii="宋体" w:hAnsi="宋体" w:eastAsia="宋体" w:cs="宋体"/>
          <w:b/>
          <w:bCs/>
          <w:color w:val="000000"/>
          <w:sz w:val="21"/>
          <w:szCs w:val="21"/>
        </w:rPr>
        <w:t>采购期限</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本合同有效期限为2022年  月  日-2024年  月  日。</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四、</w:t>
      </w:r>
      <w:r>
        <w:rPr>
          <w:rFonts w:hint="eastAsia" w:ascii="宋体" w:hAnsi="宋体" w:eastAsia="宋体" w:cs="宋体"/>
          <w:b/>
          <w:bCs/>
          <w:color w:val="000000"/>
          <w:sz w:val="21"/>
          <w:szCs w:val="21"/>
        </w:rPr>
        <w:t>质量要求</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
          <w:bCs/>
          <w:color w:val="000000"/>
          <w:sz w:val="21"/>
          <w:szCs w:val="21"/>
        </w:rPr>
      </w:pPr>
      <w:r>
        <w:rPr>
          <w:rFonts w:hint="eastAsia" w:ascii="宋体" w:hAnsi="宋体" w:eastAsia="宋体" w:cs="宋体"/>
          <w:color w:val="000000"/>
          <w:sz w:val="21"/>
          <w:szCs w:val="21"/>
        </w:rPr>
        <w:t>乙方提供的预包装食品，必须符合国家规定的食品安全相关要求，非三无产品，有“SC”食品生产许可证编号，剩余保质期必须在保质期二分之一以上，不得提供含有转基因成分的食品。禁止提供腐败、霉变、生虫、污秽不洁、混有异物或其他感观异常、可能对人体健康造成危害的食品，在食品质保期内，如发现有潜在缺陷或不符合要求的情况，甲方有权退货并向乙方索赔。</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1、一级大米：符合GB1354-2009标准及国家对食品要求强制性规定。含水量等于低于规定标准：无杂质、杂米，黄粒米＜1%，含粹＜10%，水份＜15.5%，产品标识规范，拥有“QS”食品安全认证、非转基因源料加工。</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2、面：符合GB 19295-2011 食品安全国家标准、小麦粉国家质量标准（GB1355）。灰分（干基）% ≤0.60，面筋量（14%水分）%≥ 32.0，面筋指数≥ 70，水分≤ 14.5%；具有该品种应有的色泽；具有该品种应有的滋味和气味，无异味；外表及内部均无肉眼可见杂质；拥有“QS”食品安全认证、非转基因源料加工。</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食用油：符合GB15680标准和《食用植物油卫生标准》（GB2716-2005）国家对食品要求强制性规定。具有产品正常的色泽，澄清透明，气味口感较好，无焦臭、酸败及其他异味，密封良好，无沉淀，产品标识规范，拥有“QS”食品安全认证，非转基因源料加工。</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4、调味品：符合GB/T 20903-2007 调味品要求强制性规定。标识清晰、规范，密封良好，无异物，产品标识规范，拥有“QS”食品安全认证。</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5、果蔬类：残余农药检验报告合格，外表清洁新鲜、饱满无腐烂、无异味、包装完好。</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6、家禽水（海）产品类：鸡、鸭符合GB16869-200标准要求强制性规定。鲜活、无病态；无异味、无注水。必须具有动物检验检疫证明。家禽</w:t>
      </w:r>
      <w:r>
        <w:rPr>
          <w:rFonts w:hint="eastAsia" w:ascii="宋体" w:hAnsi="宋体" w:eastAsia="宋体" w:cs="宋体"/>
          <w:color w:val="000000"/>
          <w:sz w:val="21"/>
          <w:szCs w:val="21"/>
        </w:rPr>
        <w:t>经验收合格后，按当地市场价格*优惠率结算）；</w:t>
      </w:r>
      <w:r>
        <w:rPr>
          <w:rFonts w:hint="eastAsia" w:ascii="宋体" w:hAnsi="宋体" w:eastAsia="宋体" w:cs="宋体"/>
          <w:bCs/>
          <w:color w:val="000000"/>
          <w:sz w:val="21"/>
          <w:szCs w:val="21"/>
        </w:rPr>
        <w:t>草鱼、雄鱼眼球饱满凸出，角膜光亮透明。鳃盖紧闭，鳃丝鲜红清晰，粘液润滑透明，无异味。指压被侧肌肉，肌肉紧实富有弹性，不留指痕。鳞片有光泽，纹理清晰，紧贴鱼体，不易剥落。</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7、家畜类：鲜猪肉、牛、羊肉符合GB2707-2005标准要求强制性规定。色泽正常，无异味、无注水。提供产品时必须具有动物检验检疫证明</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五、</w:t>
      </w:r>
      <w:r>
        <w:rPr>
          <w:rFonts w:hint="eastAsia" w:ascii="宋体" w:hAnsi="宋体" w:eastAsia="宋体" w:cs="宋体"/>
          <w:b/>
          <w:bCs/>
          <w:color w:val="000000"/>
          <w:sz w:val="21"/>
          <w:szCs w:val="21"/>
        </w:rPr>
        <w:t>包装、运输及交货方式</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1、包装符合行业标准和甲方要求，防湿、防潮、适应长途运输；包装物不回收。凡由于包装不良导致货物锈蚀等的损失和由此产生的费用均由乙方承担。</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2、运输由乙方负责，运输到甲方指定的地点，运费和保险费等由乙方承担。</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3、随货同行资料：食品检验报告、发货单、甲方要求的其他资料。</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4、甲方不考虑乙方运输过程中的合理损耗，以需检验合格的实际入库数量为实际交付数量。</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5、米、油需提供每批次的检验报告。</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6、</w:t>
      </w:r>
      <w:r>
        <w:rPr>
          <w:rFonts w:hint="eastAsia" w:ascii="宋体" w:hAnsi="宋体" w:eastAsia="宋体" w:cs="宋体"/>
          <w:color w:val="000000"/>
          <w:sz w:val="21"/>
          <w:szCs w:val="21"/>
        </w:rPr>
        <w:t>对甲方临时性补货需求，乙方应在两个小时之内按甲方要求送货到位。</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六、</w:t>
      </w:r>
      <w:r>
        <w:rPr>
          <w:rFonts w:hint="eastAsia" w:ascii="宋体" w:hAnsi="宋体" w:eastAsia="宋体" w:cs="宋体"/>
          <w:b/>
          <w:bCs/>
          <w:color w:val="000000"/>
          <w:sz w:val="21"/>
          <w:szCs w:val="21"/>
        </w:rPr>
        <w:t>产品验收及异议期限</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乙方对甲方验收结论有异议，应在乙方收到验收结论七天内提出；甲方验收后发现乙方食堂用物资存在质量缺陷，可随时提出异议并无条件退货。</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七、</w:t>
      </w:r>
      <w:r>
        <w:rPr>
          <w:rFonts w:hint="eastAsia" w:ascii="宋体" w:hAnsi="宋体" w:eastAsia="宋体" w:cs="宋体"/>
          <w:b/>
          <w:bCs/>
          <w:color w:val="000000"/>
          <w:sz w:val="21"/>
          <w:szCs w:val="21"/>
        </w:rPr>
        <w:t>结算及付款方式</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1、结算数量及期限：乙方凭甲方通知及时供货，乙方交付食堂用物资，经甲方所属食堂检验合格后，凭甲方仓库入库单实际入库数量进行结算。</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000000"/>
          <w:sz w:val="21"/>
          <w:szCs w:val="21"/>
        </w:rPr>
        <w:t>货款的支付一律采用银行转账支付，货到验收合格后</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乙方</w:t>
      </w:r>
      <w:r>
        <w:rPr>
          <w:rFonts w:hint="eastAsia" w:ascii="宋体" w:hAnsi="宋体" w:eastAsia="宋体" w:cs="宋体"/>
          <w:bCs/>
          <w:color w:val="auto"/>
          <w:sz w:val="21"/>
          <w:szCs w:val="21"/>
        </w:rPr>
        <w:t>开具合法有效的税务发票</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税款由乙方承担，甲方</w:t>
      </w:r>
      <w:r>
        <w:rPr>
          <w:rFonts w:hint="eastAsia" w:ascii="宋体" w:hAnsi="宋体" w:eastAsia="宋体" w:cs="宋体"/>
          <w:bCs/>
          <w:color w:val="auto"/>
          <w:sz w:val="21"/>
          <w:szCs w:val="21"/>
        </w:rPr>
        <w:t>两个月内支付货款。</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eastAsia="zh-CN"/>
        </w:rPr>
        <w:t>八、</w:t>
      </w:r>
      <w:r>
        <w:rPr>
          <w:rFonts w:hint="eastAsia" w:ascii="宋体" w:hAnsi="宋体" w:eastAsia="宋体" w:cs="宋体"/>
          <w:b/>
          <w:bCs/>
          <w:color w:val="000000"/>
          <w:sz w:val="21"/>
          <w:szCs w:val="21"/>
        </w:rPr>
        <w:t>履约保证金:</w:t>
      </w:r>
      <w:r>
        <w:rPr>
          <w:rFonts w:hint="eastAsia" w:ascii="宋体" w:hAnsi="宋体" w:eastAsia="宋体" w:cs="宋体"/>
          <w:bCs/>
          <w:color w:val="000000"/>
          <w:sz w:val="21"/>
          <w:szCs w:val="21"/>
        </w:rPr>
        <w:t>本项目需交纳履约保证金:</w:t>
      </w:r>
      <w:r>
        <w:rPr>
          <w:rFonts w:hint="eastAsia" w:ascii="宋体" w:hAnsi="宋体" w:eastAsia="宋体" w:cs="宋体"/>
          <w:bCs/>
          <w:color w:val="000000"/>
          <w:sz w:val="21"/>
          <w:szCs w:val="21"/>
          <w:u w:val="single"/>
        </w:rPr>
        <w:t xml:space="preserve"> 伍 </w:t>
      </w:r>
      <w:r>
        <w:rPr>
          <w:rFonts w:hint="eastAsia" w:ascii="宋体" w:hAnsi="宋体" w:eastAsia="宋体" w:cs="宋体"/>
          <w:bCs/>
          <w:color w:val="000000"/>
          <w:sz w:val="21"/>
          <w:szCs w:val="21"/>
        </w:rPr>
        <w:t>万元整。如乙方在合同期内按招标文件相关规定满足甲方实际供货需求，履约保证金于合同期满一个月内退还（质保金不计息）；如因乙方原因，无法满足甲方供货需求，造成合同终止，履约保证金不予退还。</w:t>
      </w:r>
    </w:p>
    <w:p>
      <w:pPr>
        <w:keepNext w:val="0"/>
        <w:keepLines w:val="0"/>
        <w:pageBreakBefore w:val="0"/>
        <w:widowControl w:val="0"/>
        <w:tabs>
          <w:tab w:val="left" w:pos="420"/>
        </w:tabs>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b/>
          <w:color w:val="000000"/>
          <w:kern w:val="0"/>
          <w:sz w:val="21"/>
          <w:szCs w:val="21"/>
          <w:lang w:val="en-US" w:eastAsia="zh-CN"/>
        </w:rPr>
      </w:pPr>
      <w:r>
        <w:rPr>
          <w:rFonts w:hint="eastAsia" w:ascii="宋体" w:hAnsi="宋体" w:cs="宋体"/>
          <w:b/>
          <w:bCs/>
          <w:color w:val="000000"/>
          <w:sz w:val="21"/>
          <w:szCs w:val="21"/>
          <w:lang w:eastAsia="zh-CN"/>
        </w:rPr>
        <w:t>九、</w:t>
      </w:r>
      <w:r>
        <w:rPr>
          <w:rFonts w:hint="eastAsia" w:ascii="宋体" w:hAnsi="宋体" w:eastAsia="宋体" w:cs="宋体"/>
          <w:b/>
          <w:color w:val="000000"/>
          <w:kern w:val="0"/>
          <w:sz w:val="21"/>
          <w:szCs w:val="21"/>
          <w:lang w:val="en-US" w:eastAsia="zh-CN"/>
        </w:rPr>
        <w:t>考核及备选替补</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成立物资配送供应考核小组对中标供应商的履约运行情况按以下考核指标进行综合考核，采购人有权剔除考核不达标的供应商，排名第4、5名的投标人可顺延为中标供应商。中标人必须建立并严格执行各项食品安全管理制度、食品卫生安全承诺、食品准入质量查验、食品进货检查验收、食品准入台账登记、从业人员健康管理、消费投诉处理以及不合格食品召回、销毁等，参与食品配送的工作人员必须持健康证上岗。采购人有权不定期抽查中标人的执行情况，并视问题的严重程度情况要求整改、处罚，直至解除服务合同。考核内容如下：</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1、配送质量</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凡有下列情形之一的，采购人可单方终止供应商的供货资格，解除服务合同，并没收中标供应商的履约保证金，造成责任事故的追究相关法律责任：</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1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①</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配送的食材腐败变质、油脂酸败、霉变、生虫、污秽不洁、混有异物或者其他感官性状异常，可能对人体健康有害的。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2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②</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配送的食材含有毒、有害物质或者被有毒、有害物质污染、可能对人体健康的。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3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配送的食材含有致病性寄生虫、微生物的，或者微生物毒素含量超过国家限定标准的。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4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④</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配送的食材掺假、掺杂、伪造或超过保质期限的。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5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⑤</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配送的食材没有检验合格证的。（蔬果类农药残留检测报告、猪肉瘦肉精检测、其他质料、食品必须符合卫生防疫部门检测标准）</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6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⑥</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将非食品当作食品的、加入非食用化学物质的或用非食品原料加工的。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7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⑦</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政府部门禁止出售的或其他不符合食品卫生标准和要求的。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8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⑧</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因配送食品质量问题引发重大食品安全事故的。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9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⑨</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与食堂承包商串通，配送假冒伪劣食品的。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（二）服务质量</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凡有下列情形之一的，采购人可单方终止供应商的供货资格，解除服务合同：</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1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①</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当月发生在接到采购人送货通知后，未按时、按质、按规格品牌及数量（缺斤少两）将所定物资配送到采购人指定的地点食堂三次以上的。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2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②</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当月配送需冷藏、冷冻食品未使用专用冷藏、冷冻车辆运输，运输过程中未保持安全的冷藏、冷冻温度范围一次以上的。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3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当月送货清单未详细注明配送物资的名称、单价、数量及送货清单单标记不清三次以上的。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4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④</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当月配送公司指定的送货专员未穿着便于辨认的工衣或配戴胸卡三次以上的。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5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⑤</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当月因配送公司送货专员服务态度不好，被采购人投诉三次以上的。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6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⑥</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当月因配送公司违反采购人校园交通秩序管理办法、违规停车三次以上的。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7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⑦</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擅自转包、分包的。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8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⑧</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一个月内验收不合格三次及以上的。</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cs="宋体"/>
          <w:b/>
          <w:bCs/>
          <w:color w:val="000000"/>
          <w:sz w:val="21"/>
          <w:szCs w:val="21"/>
          <w:lang w:eastAsia="zh-CN"/>
        </w:rPr>
      </w:pPr>
      <w:r>
        <w:rPr>
          <w:rFonts w:hint="eastAsia" w:ascii="宋体" w:hAnsi="宋体" w:eastAsia="宋体" w:cs="宋体"/>
          <w:color w:val="000000" w:themeColor="text1"/>
          <w:sz w:val="21"/>
          <w:szCs w:val="21"/>
          <w:lang w:val="en-US" w:eastAsia="zh-CN"/>
          <w14:textFill>
            <w14:solidFill>
              <w14:schemeClr w14:val="tx1"/>
            </w14:solidFill>
          </w14:textFill>
        </w:rPr>
        <w:fldChar w:fldCharType="begin"/>
      </w:r>
      <w:r>
        <w:rPr>
          <w:rFonts w:hint="eastAsia" w:ascii="宋体" w:hAnsi="宋体" w:eastAsia="宋体" w:cs="宋体"/>
          <w:color w:val="000000" w:themeColor="text1"/>
          <w:sz w:val="21"/>
          <w:szCs w:val="21"/>
          <w:lang w:val="en-US" w:eastAsia="zh-CN"/>
          <w14:textFill>
            <w14:solidFill>
              <w14:schemeClr w14:val="tx1"/>
            </w14:solidFill>
          </w14:textFill>
        </w:rPr>
        <w:instrText xml:space="preserve"> = 9 \* GB3 \* MERGEFORMAT </w:instrText>
      </w:r>
      <w:r>
        <w:rPr>
          <w:rFonts w:hint="eastAsia" w:ascii="宋体" w:hAnsi="宋体" w:eastAsia="宋体" w:cs="宋体"/>
          <w:color w:val="000000" w:themeColor="text1"/>
          <w:sz w:val="21"/>
          <w:szCs w:val="21"/>
          <w:lang w:val="en-US" w:eastAsia="zh-CN"/>
          <w14:textFill>
            <w14:solidFill>
              <w14:schemeClr w14:val="tx1"/>
            </w14:solidFill>
          </w14:textFill>
        </w:rPr>
        <w:fldChar w:fldCharType="separate"/>
      </w:r>
      <w:r>
        <w:rPr>
          <w:rFonts w:hint="eastAsia" w:ascii="宋体" w:hAnsi="宋体" w:eastAsia="宋体" w:cs="宋体"/>
          <w:color w:val="000000" w:themeColor="text1"/>
          <w:sz w:val="21"/>
          <w:szCs w:val="21"/>
          <w:lang w:val="en-US" w:eastAsia="zh-CN"/>
          <w14:textFill>
            <w14:solidFill>
              <w14:schemeClr w14:val="tx1"/>
            </w14:solidFill>
          </w14:textFill>
        </w:rPr>
        <w:t>⑨</w:t>
      </w:r>
      <w:r>
        <w:rPr>
          <w:rFonts w:hint="eastAsia" w:ascii="宋体" w:hAnsi="宋体" w:eastAsia="宋体" w:cs="宋体"/>
          <w:color w:val="000000" w:themeColor="text1"/>
          <w:sz w:val="21"/>
          <w:szCs w:val="21"/>
          <w:lang w:val="en-US" w:eastAsia="zh-CN"/>
          <w14:textFill>
            <w14:solidFill>
              <w14:schemeClr w14:val="tx1"/>
            </w14:solidFill>
          </w14:textFill>
        </w:rPr>
        <w:fldChar w:fldCharType="end"/>
      </w:r>
      <w:r>
        <w:rPr>
          <w:rFonts w:hint="eastAsia" w:ascii="宋体" w:hAnsi="宋体" w:eastAsia="宋体" w:cs="宋体"/>
          <w:color w:val="000000" w:themeColor="text1"/>
          <w:sz w:val="21"/>
          <w:szCs w:val="21"/>
          <w:lang w:val="en-US" w:eastAsia="zh-CN"/>
          <w14:textFill>
            <w14:solidFill>
              <w14:schemeClr w14:val="tx1"/>
            </w14:solidFill>
          </w14:textFill>
        </w:rPr>
        <w:t>配送单位存在严重安全隐患整改不到位的。</w:t>
      </w:r>
    </w:p>
    <w:p>
      <w:pPr>
        <w:keepNext w:val="0"/>
        <w:keepLines w:val="0"/>
        <w:pageBreakBefore w:val="0"/>
        <w:widowControl w:val="0"/>
        <w:tabs>
          <w:tab w:val="left" w:pos="5400"/>
        </w:tabs>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十、</w:t>
      </w:r>
      <w:r>
        <w:rPr>
          <w:rFonts w:hint="eastAsia" w:ascii="宋体" w:hAnsi="宋体" w:eastAsia="宋体" w:cs="宋体"/>
          <w:b/>
          <w:bCs/>
          <w:color w:val="000000"/>
          <w:sz w:val="21"/>
          <w:szCs w:val="21"/>
        </w:rPr>
        <w:t>合同的变更、解除、终止</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1、甲、乙双方经协商一致达成书面协议后，可以变更或解除本合同。</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2、在合同期内，如甲方对乙方的服务质量不满意，交货质量严重不符国家或甲方</w:t>
      </w:r>
      <w:r>
        <w:rPr>
          <w:rFonts w:hint="eastAsia" w:ascii="宋体" w:hAnsi="宋体" w:eastAsia="宋体" w:cs="宋体"/>
          <w:color w:val="000000"/>
          <w:sz w:val="21"/>
          <w:szCs w:val="21"/>
        </w:rPr>
        <w:t>质量标准，</w:t>
      </w:r>
      <w:r>
        <w:rPr>
          <w:rFonts w:hint="eastAsia" w:ascii="宋体" w:hAnsi="宋体" w:eastAsia="宋体" w:cs="宋体"/>
          <w:bCs/>
          <w:color w:val="000000"/>
          <w:sz w:val="21"/>
          <w:szCs w:val="21"/>
        </w:rPr>
        <w:t>未按合同约定全面履行义务的，甲方可以单方提前终止本合同。</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3、一方因内部政策发生调整和其它不可抗拒原因不能继续履行本合同时，应提前以书面形式通知对方，可以变更或解除本合同。</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color w:val="000000"/>
          <w:sz w:val="21"/>
          <w:szCs w:val="21"/>
        </w:rPr>
        <w:t>4</w:t>
      </w:r>
      <w:r>
        <w:rPr>
          <w:rFonts w:hint="eastAsia" w:ascii="宋体" w:hAnsi="宋体" w:eastAsia="宋体" w:cs="宋体"/>
          <w:bCs/>
          <w:color w:val="000000"/>
          <w:sz w:val="21"/>
          <w:szCs w:val="21"/>
        </w:rPr>
        <w:t>、如遇有法律规定的不可抗力因素（如国家政策干预、战争、地震等）导致本合同不能执行的，本合同可终止执行。</w:t>
      </w:r>
    </w:p>
    <w:p>
      <w:pPr>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Cs/>
          <w:color w:val="000000"/>
          <w:sz w:val="21"/>
          <w:szCs w:val="21"/>
        </w:rPr>
      </w:pPr>
      <w:r>
        <w:rPr>
          <w:rFonts w:hint="eastAsia" w:ascii="宋体" w:hAnsi="宋体" w:cs="宋体"/>
          <w:b/>
          <w:bCs/>
          <w:color w:val="000000"/>
          <w:sz w:val="21"/>
          <w:szCs w:val="21"/>
          <w:lang w:eastAsia="zh-CN"/>
        </w:rPr>
        <w:t>十一、</w:t>
      </w:r>
      <w:r>
        <w:rPr>
          <w:rFonts w:hint="eastAsia" w:ascii="宋体" w:hAnsi="宋体" w:eastAsia="宋体" w:cs="宋体"/>
          <w:b/>
          <w:bCs/>
          <w:color w:val="000000"/>
          <w:sz w:val="21"/>
          <w:szCs w:val="21"/>
        </w:rPr>
        <w:t>违约责任</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1、交货迟延及交货数量违约：乙方未按时按量供货，影响甲方的正常生产，每次向甲方支付贰仟元违约金。</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2、交货质量不符违约：乙方交货规格和质量不符合约定，影响甲方的正常生产，每次向甲方支付贰仟元违约金。</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3、乙方累计出现3次交货迟延及交货数量违约、交货质量不符违约的情况，经双方书面签字认可，甲方有权调整其业务量。</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4、乙方供货存在严重质量问题导致发生食品安全事故的，甲方除有权终止合同外，有权没收乙方履约保证金并追偿遭受的全部经济损失。</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、甲方在收到乙方发票60个工作日内未完成付款，</w:t>
      </w:r>
      <w:r>
        <w:rPr>
          <w:rFonts w:hint="eastAsia" w:ascii="宋体" w:hAnsi="宋体" w:eastAsia="宋体" w:cs="宋体"/>
          <w:bCs/>
          <w:color w:val="auto"/>
          <w:sz w:val="21"/>
          <w:szCs w:val="21"/>
        </w:rPr>
        <w:t>逾期违约金按照</w:t>
      </w:r>
      <w:r>
        <w:rPr>
          <w:rFonts w:hint="eastAsia" w:ascii="宋体" w:hAnsi="宋体" w:eastAsia="宋体" w:cs="宋体"/>
          <w:bCs/>
          <w:color w:val="auto"/>
          <w:sz w:val="21"/>
          <w:szCs w:val="21"/>
          <w:lang w:val="en-US" w:eastAsia="zh-CN"/>
        </w:rPr>
        <w:t>银行同期贷款基准利率计算</w:t>
      </w:r>
      <w:r>
        <w:rPr>
          <w:rFonts w:hint="eastAsia" w:ascii="宋体" w:hAnsi="宋体" w:eastAsia="宋体" w:cs="宋体"/>
          <w:bCs/>
          <w:color w:val="auto"/>
          <w:sz w:val="21"/>
          <w:szCs w:val="21"/>
        </w:rPr>
        <w:t>。</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lang w:val="en-US" w:eastAsia="zh-CN"/>
        </w:rPr>
        <w:t>6</w:t>
      </w:r>
      <w:r>
        <w:rPr>
          <w:rFonts w:hint="eastAsia" w:ascii="宋体" w:hAnsi="宋体" w:eastAsia="宋体" w:cs="宋体"/>
          <w:bCs/>
          <w:color w:val="000000"/>
          <w:sz w:val="21"/>
          <w:szCs w:val="21"/>
        </w:rPr>
        <w:t>、如因遇有法律规定的不可抗力因素造成不能履行本合同的，待不可抗力消除后继续履行，双方互不承担违约责任及对方损失。遇有不可抗力一方，必须立即书面通知对方，并在三日内向对方提供相关部门的证明文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lang w:val="en-US" w:eastAsia="zh-CN"/>
        </w:rPr>
        <w:t>7</w:t>
      </w:r>
      <w:r>
        <w:rPr>
          <w:rFonts w:hint="eastAsia" w:ascii="宋体" w:hAnsi="宋体" w:eastAsia="宋体" w:cs="宋体"/>
          <w:bCs/>
          <w:color w:val="000000"/>
          <w:sz w:val="21"/>
          <w:szCs w:val="21"/>
        </w:rPr>
        <w:t>、违约金首先从履约保证金中扣除，如履约保证金不足抵扣违约金或不足弥补因乙方违约而造成甲方损失的，乙方应赔偿甲方所有损失。</w:t>
      </w:r>
    </w:p>
    <w:p>
      <w:pPr>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Cs/>
          <w:color w:val="000000"/>
          <w:sz w:val="21"/>
          <w:szCs w:val="21"/>
        </w:rPr>
      </w:pPr>
      <w:r>
        <w:rPr>
          <w:rFonts w:hint="eastAsia" w:ascii="宋体" w:hAnsi="宋体" w:cs="宋体"/>
          <w:b/>
          <w:bCs/>
          <w:color w:val="000000"/>
          <w:sz w:val="21"/>
          <w:szCs w:val="21"/>
          <w:lang w:eastAsia="zh-CN"/>
        </w:rPr>
        <w:t>十二、</w:t>
      </w:r>
      <w:r>
        <w:rPr>
          <w:rFonts w:hint="eastAsia" w:ascii="宋体" w:hAnsi="宋体" w:eastAsia="宋体" w:cs="宋体"/>
          <w:b/>
          <w:bCs/>
          <w:color w:val="000000"/>
          <w:sz w:val="21"/>
          <w:szCs w:val="21"/>
        </w:rPr>
        <w:t>解决纠纷的方式</w:t>
      </w:r>
      <w:r>
        <w:rPr>
          <w:rFonts w:hint="eastAsia" w:ascii="宋体" w:hAnsi="宋体" w:eastAsia="宋体" w:cs="宋体"/>
          <w:bCs/>
          <w:color w:val="000000"/>
          <w:sz w:val="21"/>
          <w:szCs w:val="21"/>
        </w:rPr>
        <w:t>：本合同在履行过程中发生争议，由双方协商解决；协商或调解不成的，双方同意将管辖权交由甲方所在地人民法院管辖。</w:t>
      </w:r>
    </w:p>
    <w:p>
      <w:pPr>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000000"/>
          <w:sz w:val="21"/>
          <w:szCs w:val="21"/>
        </w:rPr>
      </w:pPr>
      <w:r>
        <w:rPr>
          <w:rFonts w:hint="eastAsia" w:ascii="宋体" w:hAnsi="宋体" w:cs="宋体"/>
          <w:b/>
          <w:bCs/>
          <w:color w:val="000000"/>
          <w:sz w:val="21"/>
          <w:szCs w:val="21"/>
          <w:lang w:eastAsia="zh-CN"/>
        </w:rPr>
        <w:t>十三、</w:t>
      </w:r>
      <w:r>
        <w:rPr>
          <w:rFonts w:hint="eastAsia" w:ascii="宋体" w:hAnsi="宋体" w:eastAsia="宋体" w:cs="宋体"/>
          <w:b/>
          <w:bCs/>
          <w:color w:val="000000"/>
          <w:sz w:val="21"/>
          <w:szCs w:val="21"/>
        </w:rPr>
        <w:t>其他</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1、本合同一式拾份，甲方柒份，乙方二份，留档一份，具有同等法律效力。</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2、本合同经双方签字盖章后生效。</w:t>
      </w:r>
    </w:p>
    <w:p>
      <w:pPr>
        <w:keepNext w:val="0"/>
        <w:keepLines w:val="0"/>
        <w:pageBreakBefore w:val="0"/>
        <w:widowControl w:val="0"/>
        <w:tabs>
          <w:tab w:val="left" w:pos="420"/>
          <w:tab w:val="left" w:pos="851"/>
          <w:tab w:val="left" w:pos="919"/>
        </w:tabs>
        <w:kinsoku/>
        <w:wordWrap/>
        <w:overflowPunct/>
        <w:topLinePunct w:val="0"/>
        <w:autoSpaceDE/>
        <w:autoSpaceDN/>
        <w:bidi w:val="0"/>
        <w:adjustRightInd w:val="0"/>
        <w:snapToGrid w:val="0"/>
        <w:spacing w:line="400" w:lineRule="exact"/>
        <w:ind w:firstLine="411" w:firstLineChars="196"/>
        <w:textAlignment w:val="auto"/>
        <w:rPr>
          <w:rFonts w:hint="eastAsia" w:ascii="宋体" w:hAnsi="宋体" w:eastAsia="宋体" w:cs="宋体"/>
          <w:bCs/>
          <w:color w:val="000000"/>
          <w:kern w:val="0"/>
          <w:sz w:val="21"/>
          <w:szCs w:val="21"/>
          <w:highlight w:val="yellow"/>
        </w:rPr>
      </w:pPr>
      <w:r>
        <w:rPr>
          <w:rFonts w:hint="eastAsia" w:ascii="宋体" w:hAnsi="宋体" w:eastAsia="宋体" w:cs="宋体"/>
          <w:bCs/>
          <w:color w:val="000000"/>
          <w:sz w:val="21"/>
          <w:szCs w:val="21"/>
          <w:lang w:val="en-US" w:eastAsia="zh-CN"/>
        </w:rPr>
        <w:t>3、乙方必须</w:t>
      </w:r>
      <w:r>
        <w:rPr>
          <w:rFonts w:hint="eastAsia" w:ascii="宋体" w:hAnsi="宋体" w:eastAsia="宋体" w:cs="宋体"/>
          <w:bCs/>
          <w:color w:val="000000"/>
          <w:kern w:val="0"/>
          <w:sz w:val="21"/>
          <w:szCs w:val="21"/>
        </w:rPr>
        <w:t>协助</w:t>
      </w:r>
      <w:r>
        <w:rPr>
          <w:rFonts w:hint="eastAsia" w:ascii="宋体" w:hAnsi="宋体" w:eastAsia="宋体" w:cs="宋体"/>
          <w:bCs/>
          <w:color w:val="000000"/>
          <w:kern w:val="0"/>
          <w:sz w:val="21"/>
          <w:szCs w:val="21"/>
          <w:lang w:val="en-US" w:eastAsia="zh-CN"/>
        </w:rPr>
        <w:t>甲</w:t>
      </w:r>
      <w:r>
        <w:rPr>
          <w:rFonts w:hint="eastAsia" w:ascii="宋体" w:hAnsi="宋体" w:eastAsia="宋体" w:cs="宋体"/>
          <w:bCs/>
          <w:color w:val="000000"/>
          <w:kern w:val="0"/>
          <w:sz w:val="21"/>
          <w:szCs w:val="21"/>
        </w:rPr>
        <w:t>方做好消费帮扶平台（含脱贫地区农副产品网络销售平台-832平台、湖南省政府采购电子卖场乡村振兴馆、湖南消费帮扶公共服务平台教育联采平台、达漫电商等渠道）的各项工作，</w:t>
      </w:r>
      <w:r>
        <w:rPr>
          <w:rFonts w:hint="eastAsia" w:ascii="宋体" w:hAnsi="宋体" w:cs="宋体"/>
          <w:bCs/>
          <w:color w:val="000000"/>
          <w:kern w:val="0"/>
          <w:sz w:val="21"/>
          <w:szCs w:val="21"/>
          <w:lang w:eastAsia="zh-CN"/>
        </w:rPr>
        <w:t>并</w:t>
      </w:r>
      <w:r>
        <w:rPr>
          <w:rFonts w:hint="eastAsia" w:ascii="宋体" w:hAnsi="宋体" w:eastAsia="宋体" w:cs="宋体"/>
          <w:color w:val="000000"/>
          <w:sz w:val="21"/>
          <w:szCs w:val="21"/>
          <w:lang w:val="en-US" w:eastAsia="zh-CN"/>
        </w:rPr>
        <w:t>承诺为</w:t>
      </w:r>
      <w:r>
        <w:rPr>
          <w:rFonts w:hint="eastAsia" w:ascii="宋体" w:hAnsi="宋体" w:cs="宋体"/>
          <w:color w:val="000000"/>
          <w:sz w:val="21"/>
          <w:szCs w:val="21"/>
          <w:lang w:val="en-US" w:eastAsia="zh-CN"/>
        </w:rPr>
        <w:t>甲方</w:t>
      </w:r>
      <w:r>
        <w:rPr>
          <w:rFonts w:hint="eastAsia" w:ascii="宋体" w:hAnsi="宋体" w:eastAsia="宋体" w:cs="宋体"/>
          <w:color w:val="000000"/>
          <w:sz w:val="21"/>
          <w:szCs w:val="21"/>
          <w:lang w:val="en-US" w:eastAsia="zh-CN"/>
        </w:rPr>
        <w:t>提供的物资配送结算金额其比例不低于当年上级主管部门文件要求的任务。</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000000"/>
          <w:sz w:val="21"/>
          <w:szCs w:val="21"/>
        </w:rPr>
      </w:pPr>
      <w:r>
        <w:rPr>
          <w:rFonts w:hint="eastAsia" w:ascii="宋体" w:hAnsi="宋体" w:cs="宋体"/>
          <w:bCs/>
          <w:color w:val="000000"/>
          <w:sz w:val="21"/>
          <w:szCs w:val="21"/>
          <w:lang w:val="en-US" w:eastAsia="zh-CN"/>
        </w:rPr>
        <w:t>4</w:t>
      </w:r>
      <w:r>
        <w:rPr>
          <w:rFonts w:hint="eastAsia" w:ascii="宋体" w:hAnsi="宋体" w:eastAsia="宋体" w:cs="宋体"/>
          <w:bCs/>
          <w:color w:val="000000"/>
          <w:sz w:val="21"/>
          <w:szCs w:val="21"/>
        </w:rPr>
        <w:t>、本合同的附件1：《</w:t>
      </w:r>
      <w:r>
        <w:rPr>
          <w:rFonts w:hint="eastAsia" w:ascii="宋体" w:hAnsi="宋体" w:eastAsia="宋体" w:cs="宋体"/>
          <w:bCs/>
          <w:color w:val="000000"/>
          <w:sz w:val="21"/>
          <w:szCs w:val="21"/>
          <w:lang w:val="en-US" w:eastAsia="zh-CN"/>
        </w:rPr>
        <w:t>湖南科技学院食堂</w:t>
      </w:r>
      <w:r>
        <w:rPr>
          <w:rFonts w:hint="eastAsia" w:ascii="宋体" w:hAnsi="宋体" w:eastAsia="宋体" w:cs="宋体"/>
          <w:bCs/>
          <w:color w:val="000000"/>
          <w:sz w:val="21"/>
          <w:szCs w:val="21"/>
        </w:rPr>
        <w:t>物质（食品）采购验收标准》、附件2：《廉洁履约协议书》、附件3：《食品安全责任书》</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附件4：《供货反应速度及供货质量承诺书》、附件5：《无不良行为承诺书》</w:t>
      </w:r>
      <w:r>
        <w:rPr>
          <w:rFonts w:hint="eastAsia" w:ascii="宋体" w:hAnsi="宋体" w:eastAsia="宋体" w:cs="宋体"/>
          <w:bCs/>
          <w:color w:val="000000"/>
          <w:sz w:val="21"/>
          <w:szCs w:val="21"/>
        </w:rPr>
        <w:t>是不可分割的合同部分，与主合同同时生效，并具有同等法律约束力。</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000000"/>
          <w:sz w:val="21"/>
          <w:szCs w:val="21"/>
        </w:rPr>
      </w:pPr>
    </w:p>
    <w:p>
      <w:pPr>
        <w:spacing w:line="360" w:lineRule="auto"/>
        <w:ind w:firstLine="420" w:firstLineChars="200"/>
        <w:rPr>
          <w:rFonts w:hint="eastAsia" w:ascii="宋体" w:hAnsi="宋体" w:eastAsia="宋体" w:cs="宋体"/>
          <w:bCs/>
          <w:color w:val="000000"/>
          <w:sz w:val="21"/>
          <w:szCs w:val="21"/>
        </w:rPr>
      </w:pPr>
    </w:p>
    <w:p>
      <w:pPr>
        <w:pStyle w:val="2"/>
        <w:rPr>
          <w:rFonts w:hint="eastAsia" w:ascii="宋体" w:hAnsi="宋体" w:eastAsia="宋体" w:cs="宋体"/>
          <w:bCs/>
          <w:color w:val="000000"/>
          <w:sz w:val="21"/>
          <w:szCs w:val="21"/>
        </w:rPr>
      </w:pPr>
    </w:p>
    <w:p>
      <w:pPr>
        <w:rPr>
          <w:rFonts w:hint="eastAsia" w:ascii="宋体" w:hAnsi="宋体" w:eastAsia="宋体" w:cs="宋体"/>
          <w:bCs/>
          <w:color w:val="000000"/>
          <w:sz w:val="21"/>
          <w:szCs w:val="21"/>
        </w:rPr>
      </w:pPr>
    </w:p>
    <w:p>
      <w:pPr>
        <w:pStyle w:val="2"/>
        <w:rPr>
          <w:rFonts w:hint="eastAsia" w:ascii="宋体" w:hAnsi="宋体" w:eastAsia="宋体" w:cs="宋体"/>
          <w:bCs/>
          <w:color w:val="000000"/>
          <w:sz w:val="21"/>
          <w:szCs w:val="21"/>
        </w:rPr>
      </w:pPr>
    </w:p>
    <w:p>
      <w:pPr>
        <w:rPr>
          <w:rFonts w:hint="eastAsia" w:ascii="宋体" w:hAnsi="宋体" w:eastAsia="宋体" w:cs="宋体"/>
          <w:bCs/>
          <w:color w:val="000000"/>
          <w:sz w:val="21"/>
          <w:szCs w:val="21"/>
        </w:rPr>
      </w:pPr>
    </w:p>
    <w:p>
      <w:pPr>
        <w:pStyle w:val="2"/>
        <w:rPr>
          <w:rFonts w:hint="eastAsia" w:ascii="宋体" w:hAnsi="宋体" w:eastAsia="宋体" w:cs="宋体"/>
          <w:bCs/>
          <w:color w:val="000000"/>
          <w:sz w:val="21"/>
          <w:szCs w:val="21"/>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甲方（公章）：</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乙方（公章）：</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highlight w:val="white"/>
          <w:u w:val="single"/>
        </w:rPr>
        <w:t xml:space="preserve">        </w:t>
      </w:r>
      <w:r>
        <w:rPr>
          <w:rFonts w:hint="eastAsia" w:ascii="宋体" w:hAnsi="宋体" w:eastAsia="宋体" w:cs="宋体"/>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法定 代表人：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委托 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电       话：</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传      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传       真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开 户 银 行：</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pPr>
        <w:pStyle w:val="41"/>
        <w:keepNext w:val="0"/>
        <w:keepLines w:val="0"/>
        <w:pageBreakBefore w:val="0"/>
        <w:widowControl w:val="0"/>
        <w:kinsoku/>
        <w:wordWrap/>
        <w:overflowPunct/>
        <w:topLinePunct w:val="0"/>
        <w:autoSpaceDE/>
        <w:autoSpaceDN/>
        <w:bidi w:val="0"/>
        <w:adjustRightInd/>
        <w:snapToGrid/>
        <w:spacing w:after="0" w:line="400" w:lineRule="exact"/>
        <w:ind w:left="0" w:leftChars="0" w:firstLine="480"/>
        <w:textAlignment w:val="auto"/>
        <w:rPr>
          <w:rFonts w:hint="eastAsia" w:ascii="黑体" w:hAnsi="华文中宋" w:eastAsia="黑体"/>
          <w:b/>
          <w:sz w:val="32"/>
          <w:szCs w:val="32"/>
          <w:lang w:val="en-US" w:eastAsia="zh-CN"/>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帐       号：</w:t>
      </w:r>
      <w:r>
        <w:rPr>
          <w:rFonts w:hint="eastAsia" w:ascii="宋体" w:hAnsi="宋体" w:eastAsia="宋体" w:cs="宋体"/>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val="0"/>
          <w:color w:val="000000"/>
          <w:sz w:val="24"/>
          <w:szCs w:val="24"/>
          <w:lang w:val="en-US" w:eastAsia="zh-CN"/>
        </w:rPr>
      </w:pPr>
    </w:p>
    <w:p>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val="0"/>
          <w:color w:val="000000"/>
          <w:sz w:val="24"/>
          <w:szCs w:val="24"/>
          <w:lang w:val="en-US" w:eastAsia="zh-CN"/>
        </w:rPr>
      </w:pPr>
    </w:p>
    <w:p>
      <w:pPr>
        <w:pStyle w:val="2"/>
        <w:rPr>
          <w:rFonts w:hint="eastAsia" w:ascii="宋体" w:hAnsi="宋体" w:eastAsia="宋体" w:cs="宋体"/>
          <w:b/>
          <w:bCs w:val="0"/>
          <w:color w:val="000000"/>
          <w:sz w:val="24"/>
          <w:szCs w:val="24"/>
          <w:lang w:val="en-US" w:eastAsia="zh-CN"/>
        </w:rPr>
      </w:pPr>
    </w:p>
    <w:p>
      <w:pPr>
        <w:rPr>
          <w:rFonts w:hint="eastAsia" w:ascii="宋体" w:hAnsi="宋体" w:eastAsia="宋体" w:cs="宋体"/>
          <w:b/>
          <w:bCs w:val="0"/>
          <w:color w:val="000000"/>
          <w:sz w:val="24"/>
          <w:szCs w:val="24"/>
          <w:lang w:val="en-US" w:eastAsia="zh-CN"/>
        </w:rPr>
      </w:pPr>
    </w:p>
    <w:p>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val="0"/>
          <w:color w:val="000000"/>
          <w:sz w:val="24"/>
          <w:szCs w:val="24"/>
        </w:rPr>
      </w:pPr>
      <w:r>
        <w:rPr>
          <w:rFonts w:hint="eastAsia" w:ascii="宋体" w:hAnsi="宋体" w:eastAsia="宋体" w:cs="宋体"/>
          <w:b/>
          <w:bCs w:val="0"/>
          <w:color w:val="000000"/>
          <w:sz w:val="24"/>
          <w:szCs w:val="24"/>
          <w:lang w:val="en-US" w:eastAsia="zh-CN"/>
        </w:rPr>
        <w:t>附件1：</w:t>
      </w:r>
      <w:r>
        <w:rPr>
          <w:rFonts w:hint="eastAsia" w:ascii="宋体" w:hAnsi="宋体" w:cs="宋体"/>
          <w:b/>
          <w:bCs w:val="0"/>
          <w:color w:val="000000"/>
          <w:sz w:val="24"/>
          <w:szCs w:val="24"/>
          <w:lang w:val="en-US" w:eastAsia="zh-CN"/>
        </w:rPr>
        <w:t xml:space="preserve">     </w:t>
      </w:r>
      <w:r>
        <w:rPr>
          <w:rFonts w:hint="eastAsia" w:ascii="宋体" w:hAnsi="宋体" w:eastAsia="宋体" w:cs="宋体"/>
          <w:b/>
          <w:bCs w:val="0"/>
          <w:color w:val="000000"/>
          <w:sz w:val="24"/>
          <w:szCs w:val="24"/>
        </w:rPr>
        <w:t>湖南科技学院食堂物资（食品）采购验收标准</w:t>
      </w:r>
    </w:p>
    <w:p>
      <w:pPr>
        <w:pStyle w:val="10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一、目的和适用范围:</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1.1目的: 为规范后勤服务中心物质采购验收标准, 使后勤服务中心物质采购验收达到安全、卫生、节约的目的, 根据《食品安全法》及相关食品卫生标准规定, 结合后勤服务中心采购管理制定本标准。</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1.2适用范围: 本标准适用于学校食堂。</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二、物质材料分类:</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2.1米、面类:主要包括大米、面粉、米粉、玉米面等。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2.2食用油类: 主要包括玉米油、花生油、葵花仔油以及调和油等。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2.3定型包装品类: 主要包括调味品以及其它预包装食品等。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2.4肉产品类:主要包括新鲜猪肉、现场宰杀的羊肉、狗肉、牛肉等。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2.5家禽类: 主要包括 鸡、 鸭、 鹅等。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2.6水产类: 主要包括鲜活的海产品、鱼、虾、及各种贝壳类等。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2.7豆制品类: 主要包括豆腐、豆腐皮等其它豆制品。</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2.8干货类: 主要包括木耳、粉丝、香菇、大料、花料尤鱼、墨鱼 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2.9蔬菜类: 主要包括: 叶菜、茎菜、根菜、果菜、花菜、食用菌类等。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2.10水果类: 主要包括苹果、梨子、葡萄、荔枝、香蕉、桔子、有籽、无籽西瓜。</w:t>
      </w:r>
    </w:p>
    <w:p>
      <w:pPr>
        <w:ind w:firstLine="420" w:firstLineChars="200"/>
        <w:rPr>
          <w:rFonts w:hint="eastAsia" w:ascii="宋体" w:hAnsi="宋体" w:eastAsia="宋体" w:cs="宋体"/>
          <w:b/>
          <w:color w:val="000000"/>
          <w:sz w:val="21"/>
          <w:szCs w:val="21"/>
        </w:rPr>
      </w:pPr>
      <w:r>
        <w:rPr>
          <w:rFonts w:hint="eastAsia" w:ascii="宋体" w:hAnsi="宋体" w:eastAsia="宋体" w:cs="宋体"/>
          <w:color w:val="000000"/>
          <w:sz w:val="21"/>
          <w:szCs w:val="21"/>
        </w:rPr>
        <w:t>三、物质材料验收方法:</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3.1嗅觉检验: 即用嗅觉器官来鉴定原料气味, 如出现异味说明已变质。</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3.2视觉检验: 用肉眼根据经验判断品质的好坏。</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3.3味觉检验: 可根据原料的味觉特征、变化情况来鉴定品质的好坏。</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3.4听觉检验: 根据听觉检验的方法鉴定品质的好坏, 如蛋类可以用手摇动然后听声音来鉴定。</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3.5触觉检验: 用手检验原料组织的粗、细, 弹性、硬度等,以确定其品质的好坏。</w:t>
      </w:r>
    </w:p>
    <w:p>
      <w:pPr>
        <w:keepNext w:val="0"/>
        <w:keepLines w:val="0"/>
        <w:pageBreakBefore w:val="0"/>
        <w:kinsoku/>
        <w:wordWrap/>
        <w:overflowPunct/>
        <w:topLinePunct w:val="0"/>
        <w:autoSpaceDE/>
        <w:autoSpaceDN/>
        <w:bidi w:val="0"/>
        <w:adjustRightInd w:val="0"/>
        <w:snapToGrid w:val="0"/>
        <w:spacing w:line="288"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四、验收标准、细则:</w:t>
      </w:r>
    </w:p>
    <w:tbl>
      <w:tblPr>
        <w:tblStyle w:val="4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865"/>
        <w:gridCol w:w="5386"/>
        <w:gridCol w:w="709"/>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原料分类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品  名</w:t>
            </w:r>
          </w:p>
        </w:tc>
        <w:tc>
          <w:tcPr>
            <w:tcW w:w="5386"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验     收    标      准</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一级</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检验</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二级</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检验</w:t>
            </w: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三级检验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米、面粉类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大米、面粉、米粉等</w:t>
            </w:r>
          </w:p>
        </w:tc>
        <w:tc>
          <w:tcPr>
            <w:tcW w:w="5386"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米的粒形:米粒形均匀、整齐,米粒上呈乳白色, 新鲜的米有清香味和光泽，无米糠和其它杂质、无虫草害、无异味、无霉味,手摸时滑爽、干燥。面粉:面粉的颜色越白精度越高,新鲜的面粉有正常气味,颜色较淡,带有腐败味,霉味,颜色发深的面粉则是陈面粉不得入库, 其包装袋或标签上须注明食品名称、生产日期、生产厂家、生产地址、保质期、并附有分批次检测报告。</w:t>
            </w:r>
            <w:r>
              <w:rPr>
                <w:rFonts w:hint="eastAsia" w:ascii="宋体" w:hAnsi="宋体" w:eastAsia="宋体" w:cs="宋体"/>
                <w:color w:val="000000"/>
                <w:sz w:val="21"/>
                <w:szCs w:val="21"/>
              </w:rPr>
              <w:t>米粉在日光或灯光下检视为微黄粉状, 气香味微甜, 无肉眼可见杂质, 无异味,</w:t>
            </w:r>
            <w:r>
              <w:rPr>
                <w:rFonts w:hint="eastAsia" w:ascii="宋体" w:hAnsi="宋体" w:eastAsia="宋体" w:cs="宋体"/>
                <w:color w:val="000000"/>
                <w:kern w:val="0"/>
                <w:sz w:val="21"/>
                <w:szCs w:val="21"/>
              </w:rPr>
              <w:t xml:space="preserve"> 有酸败味不得验收入库,实物数量要与计划数量相符。</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食用油类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玉米油、花生油、葵花仔油以及调和油</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滋味:品质正常的食用油脂多无任何滋味.品质较差的油脂可能带有轻重不同的酸败味。色泽:各种油脂本色正的为在质量好,如猪油为白色、豆油为深黄色、花生油为淡黄色；如色泽加深或有异常现象即为劣质油。透明度:品质正常的油脂在溶液时应当完全透明,如油脂中存在过多的水分蛋白质.磷脂蜡及其它油质和变质油所产生的高熔物质均能引起油脂浑浊,透明度下降。其包装盒或标签上须注明食品名称、生产日期、生产厂家、生产地址、保质期、并附有分批次检测报告。实物数量要与计划数量相符。</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定型包装品类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调味品、饮料以及其它预包装食品</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定型</w:t>
            </w:r>
            <w:r>
              <w:rPr>
                <w:rFonts w:hint="eastAsia" w:ascii="宋体" w:hAnsi="宋体" w:eastAsia="宋体" w:cs="宋体"/>
                <w:color w:val="000000"/>
                <w:kern w:val="0"/>
                <w:sz w:val="21"/>
                <w:szCs w:val="21"/>
              </w:rPr>
              <w:t>包装食品其包装盒或标签上须注明食品名称、生产日期、生产厂家、生产地址、保质期。包装食品的内容和重量必须和包装上标明的完全一致。实物数量要与计划数量</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相符。</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肉产品类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鲜猪肉、现场宰杀的羊肉、狗肉、牛肉等</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猪肉:肉质紧密无淋巴瘤，色泽新鲜有弹性、肉质粘手、无杂质、无异味、无注水现象，无猪婆肉。并附有每批次检疫证明；肉品品质合格证。</w:t>
            </w:r>
            <w:r>
              <w:rPr>
                <w:rFonts w:hint="eastAsia" w:ascii="宋体" w:hAnsi="宋体" w:eastAsia="宋体" w:cs="宋体"/>
                <w:color w:val="000000"/>
                <w:sz w:val="21"/>
                <w:szCs w:val="21"/>
              </w:rPr>
              <w:t>现场宰杀的羊肉、狗肉、牛肉等必须</w:t>
            </w:r>
            <w:r>
              <w:rPr>
                <w:rFonts w:hint="eastAsia" w:ascii="宋体" w:hAnsi="宋体" w:eastAsia="宋体" w:cs="宋体"/>
                <w:color w:val="000000"/>
                <w:kern w:val="0"/>
                <w:sz w:val="21"/>
                <w:szCs w:val="21"/>
              </w:rPr>
              <w:t>附有每批次检疫证明。且色泽新鲜有弹性、肉质</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粘手、无杂质、无异味、无注水现象。</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家禽类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三黄鸡、 麻鸭、 灰鹅</w:t>
            </w:r>
          </w:p>
        </w:tc>
        <w:tc>
          <w:tcPr>
            <w:tcW w:w="5386" w:type="dxa"/>
            <w:noWrap w:val="0"/>
            <w:vAlign w:val="center"/>
          </w:tcPr>
          <w:p>
            <w:pPr>
              <w:keepNext w:val="0"/>
              <w:keepLines w:val="0"/>
              <w:pageBreakBefore w:val="0"/>
              <w:widowControl/>
              <w:numPr>
                <w:ilvl w:val="0"/>
                <w:numId w:val="2"/>
              </w:numPr>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现场宰杀的 鸡、 鸭、 鹅必须</w:t>
            </w:r>
            <w:r>
              <w:rPr>
                <w:rFonts w:hint="eastAsia" w:ascii="宋体" w:hAnsi="宋体" w:eastAsia="宋体" w:cs="宋体"/>
                <w:color w:val="000000"/>
                <w:kern w:val="0"/>
                <w:sz w:val="21"/>
                <w:szCs w:val="21"/>
              </w:rPr>
              <w:t>附有每批次检疫证明。</w:t>
            </w:r>
            <w:r>
              <w:rPr>
                <w:rFonts w:hint="eastAsia" w:ascii="宋体" w:hAnsi="宋体" w:eastAsia="宋体" w:cs="宋体"/>
                <w:color w:val="000000"/>
                <w:sz w:val="21"/>
                <w:szCs w:val="21"/>
              </w:rPr>
              <w:t xml:space="preserve"> 鸭、 鹅</w:t>
            </w:r>
            <w:r>
              <w:rPr>
                <w:rFonts w:hint="eastAsia" w:ascii="宋体" w:hAnsi="宋体" w:eastAsia="宋体" w:cs="宋体"/>
                <w:color w:val="000000"/>
                <w:kern w:val="0"/>
                <w:sz w:val="21"/>
                <w:szCs w:val="21"/>
              </w:rPr>
              <w:t>草绳每个不得超过30ɡ，</w:t>
            </w:r>
            <w:r>
              <w:rPr>
                <w:rFonts w:hint="eastAsia" w:ascii="宋体" w:hAnsi="宋体" w:eastAsia="宋体" w:cs="宋体"/>
                <w:color w:val="000000"/>
                <w:sz w:val="21"/>
                <w:szCs w:val="21"/>
              </w:rPr>
              <w:t xml:space="preserve"> 鸡不得带草绳。活鸡个重1.1</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以上、 鸭个重1.75</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以上、 鹅个重3</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以上、</w:t>
            </w:r>
          </w:p>
          <w:p>
            <w:pPr>
              <w:keepNext w:val="0"/>
              <w:keepLines w:val="0"/>
              <w:pageBreakBefore w:val="0"/>
              <w:widowControl/>
              <w:numPr>
                <w:ilvl w:val="0"/>
                <w:numId w:val="0"/>
              </w:numPr>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食袋食物不得超过</w:t>
            </w:r>
            <w:r>
              <w:rPr>
                <w:rFonts w:hint="eastAsia" w:ascii="宋体" w:hAnsi="宋体" w:eastAsia="宋体" w:cs="宋体"/>
                <w:color w:val="000000"/>
                <w:kern w:val="0"/>
                <w:sz w:val="21"/>
                <w:szCs w:val="21"/>
              </w:rPr>
              <w:t>50ɡ，无注水现象。</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2、</w:t>
            </w:r>
            <w:r>
              <w:rPr>
                <w:rFonts w:hint="eastAsia" w:ascii="宋体" w:hAnsi="宋体" w:eastAsia="宋体" w:cs="宋体"/>
                <w:color w:val="000000"/>
                <w:sz w:val="21"/>
                <w:szCs w:val="21"/>
              </w:rPr>
              <w:t>三黄鸡验收标准：黄羽、黄喙、黄脚（活体）；宰杀、去毛后的三黄鸡是皮黄、嘴黄、脚黄。二黄鸡皮不黄。</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3、白条鸡、白条鸭、白条鹅检验标准：</w:t>
            </w:r>
            <w:r>
              <w:rPr>
                <w:rFonts w:hint="eastAsia" w:ascii="宋体" w:hAnsi="宋体" w:eastAsia="宋体" w:cs="宋体"/>
                <w:color w:val="000000"/>
                <w:kern w:val="0"/>
                <w:sz w:val="21"/>
                <w:szCs w:val="21"/>
              </w:rPr>
              <w:t>附有每批次检疫证明。</w:t>
            </w:r>
            <w:r>
              <w:rPr>
                <w:rFonts w:hint="eastAsia" w:ascii="宋体" w:hAnsi="宋体" w:eastAsia="宋体" w:cs="宋体"/>
                <w:color w:val="000000"/>
                <w:sz w:val="21"/>
                <w:szCs w:val="21"/>
              </w:rPr>
              <w:t>选用健康鸡、鸭、鹅只，经去除体毛，摘除嗉囔，掏净内脏，去除爪、嘴处角质黄皮，摘除三管（颈部淋巴、气管、食管），禽体洁净，眼球饱满，表皮无破损、无断翅、无断颈、无断爪、无断骨、无淤血、无病变、无浮毛。</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水产类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鲜活的海产品、鱼、虾、及各种贝壳</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活鲜鱼、活虾应</w:t>
            </w:r>
            <w:r>
              <w:rPr>
                <w:rFonts w:hint="eastAsia" w:ascii="宋体" w:hAnsi="宋体" w:eastAsia="宋体" w:cs="宋体"/>
                <w:color w:val="000000"/>
                <w:sz w:val="21"/>
                <w:szCs w:val="21"/>
              </w:rPr>
              <w:t>活蹦乱跳、</w:t>
            </w:r>
            <w:r>
              <w:rPr>
                <w:rFonts w:hint="eastAsia" w:ascii="宋体" w:hAnsi="宋体" w:eastAsia="宋体" w:cs="宋体"/>
                <w:color w:val="000000"/>
                <w:kern w:val="0"/>
                <w:sz w:val="21"/>
                <w:szCs w:val="21"/>
              </w:rPr>
              <w:t>澄清而有光泽,</w:t>
            </w:r>
            <w:r>
              <w:rPr>
                <w:rFonts w:hint="eastAsia" w:ascii="宋体" w:hAnsi="宋体" w:eastAsia="宋体" w:cs="宋体"/>
                <w:color w:val="000000"/>
                <w:sz w:val="21"/>
                <w:szCs w:val="21"/>
              </w:rPr>
              <w:t>死鱼、虾</w:t>
            </w:r>
            <w:r>
              <w:rPr>
                <w:rFonts w:hint="eastAsia" w:ascii="宋体" w:hAnsi="宋体" w:eastAsia="宋体" w:cs="宋体"/>
                <w:color w:val="000000"/>
                <w:kern w:val="0"/>
                <w:sz w:val="21"/>
                <w:szCs w:val="21"/>
              </w:rPr>
              <w:t>不得验收入库。</w:t>
            </w:r>
            <w:r>
              <w:rPr>
                <w:rFonts w:hint="eastAsia" w:ascii="宋体" w:hAnsi="宋体" w:eastAsia="宋体" w:cs="宋体"/>
                <w:color w:val="000000"/>
                <w:sz w:val="21"/>
                <w:szCs w:val="21"/>
              </w:rPr>
              <w:t>鲜活贝类，颜色应鲜艳湿润，壳体完整无损，双壳紧闭，用手掰不开，或双壳自动裂开，稍有触及则立即闭合。死的贝壳，用手掰壳时极易掰开，也有的自动张开口，触动时无反应，不闭合,此种不得验收入库。雄鱼头：以鱼鳃下不超9CM（四-五指），单只鱼头重量不低</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于2斤为准；</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豆制品类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豆腐、豆腐皮等豆制品</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新鲜有弹性、带有豆香味；粘手、发酸证明已变质,不得</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验收入库。</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禽蛋类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鸡蛋、鹌鹑蛋</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鲜蛋用光照,能透光,呈桔红色,气室小而透亮,蛋黄轮廓完整清晰,无斑点；嗅觉鉴别：新鲜的蛋用鼻闻,清新、无异味；摇荡鉴别：将蛋轻轻摇动,听不到声音或感觉不到振动的为新鲜蛋。实物数量要与计划数量相符。实物数量要与计划数量相符。</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蔬菜类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根茎类（红、白萝卜、淮山等）</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表皮坚硬、无腐烂、不空心、不黑心、弹击有实心感,干</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净清洁、无虫害、无发霉现象。</w:t>
            </w:r>
          </w:p>
        </w:tc>
        <w:tc>
          <w:tcPr>
            <w:tcW w:w="709"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叶菜类</w:t>
            </w:r>
          </w:p>
        </w:tc>
        <w:tc>
          <w:tcPr>
            <w:tcW w:w="5386" w:type="dxa"/>
            <w:noWrap w:val="0"/>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鲜嫩、叶片新鲜，无病斑，无烂叶老叶、叶茎完整、根部无腐烂，叶片白色、黄色、绿色皆可。蔬菜农药残留检测</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指标“抑制率”低于国家规定小于“50%”的标准。</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茎菜类（土豆、莲、生姜芋头、莴笋等）</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茎皮光滑不开裂、无老根、无腐烂、无虫蛀,</w:t>
            </w:r>
            <w:r>
              <w:rPr>
                <w:rFonts w:hint="eastAsia" w:ascii="宋体" w:hAnsi="宋体" w:eastAsia="宋体" w:cs="宋体"/>
                <w:color w:val="000000"/>
                <w:sz w:val="21"/>
                <w:szCs w:val="21"/>
              </w:rPr>
              <w:t xml:space="preserve"> 无黑心、无</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病虫害,</w:t>
            </w:r>
            <w:r>
              <w:rPr>
                <w:rFonts w:hint="eastAsia" w:ascii="宋体" w:hAnsi="宋体" w:eastAsia="宋体" w:cs="宋体"/>
                <w:color w:val="000000"/>
                <w:kern w:val="0"/>
                <w:sz w:val="21"/>
                <w:szCs w:val="21"/>
              </w:rPr>
              <w:t>变软不发芽,</w:t>
            </w:r>
            <w:r>
              <w:rPr>
                <w:rFonts w:hint="eastAsia" w:ascii="宋体" w:hAnsi="宋体" w:eastAsia="宋体" w:cs="宋体"/>
                <w:color w:val="000000"/>
                <w:sz w:val="21"/>
                <w:szCs w:val="21"/>
              </w:rPr>
              <w:t xml:space="preserve"> 外观良好。</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食用菌类</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色泽与其品种相适应、无腐烂、无虫蛛、无发霉,香菇、磨菇带柄不能过长、过粗。豆芽芽茎鲜嫩色清洁白,</w:t>
            </w:r>
            <w:r>
              <w:rPr>
                <w:rFonts w:hint="eastAsia" w:ascii="宋体" w:hAnsi="宋体" w:eastAsia="宋体" w:cs="宋体"/>
                <w:color w:val="000000"/>
                <w:sz w:val="21"/>
                <w:szCs w:val="21"/>
              </w:rPr>
              <w:t xml:space="preserve"> </w:t>
            </w:r>
            <w:r>
              <w:rPr>
                <w:rFonts w:hint="eastAsia" w:ascii="宋体" w:hAnsi="宋体" w:eastAsia="宋体" w:cs="宋体"/>
                <w:color w:val="000000"/>
                <w:kern w:val="0"/>
                <w:sz w:val="21"/>
                <w:szCs w:val="21"/>
              </w:rPr>
              <w:t>无变</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色、变质现象。</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果菜类</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外观良好、表皮无损伤、瓜肉坚实,无腐烂、无虫蛀,</w:t>
            </w:r>
            <w:r>
              <w:rPr>
                <w:rFonts w:hint="eastAsia" w:ascii="宋体" w:hAnsi="宋体" w:eastAsia="宋体" w:cs="宋体"/>
                <w:color w:val="000000"/>
                <w:sz w:val="21"/>
                <w:szCs w:val="21"/>
              </w:rPr>
              <w:t xml:space="preserve"> 无黑心、无病虫害,</w:t>
            </w:r>
            <w:r>
              <w:rPr>
                <w:rFonts w:hint="eastAsia" w:ascii="宋体" w:hAnsi="宋体" w:eastAsia="宋体" w:cs="宋体"/>
                <w:color w:val="000000"/>
                <w:kern w:val="0"/>
                <w:sz w:val="21"/>
                <w:szCs w:val="21"/>
              </w:rPr>
              <w:t xml:space="preserve"> </w:t>
            </w:r>
            <w:r>
              <w:rPr>
                <w:rFonts w:hint="eastAsia" w:ascii="宋体" w:hAnsi="宋体" w:eastAsia="宋体" w:cs="宋体"/>
                <w:color w:val="000000"/>
                <w:sz w:val="21"/>
                <w:szCs w:val="21"/>
              </w:rPr>
              <w:t xml:space="preserve"> 外观良好. 色泽鲜明。蔬菜农药残留检测指标“抑制率”低于国家规定小于“50%”的标准</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水果类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梨子</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果形端正、无畸形果、带果柄、果面新鲜洁净、无刺划伤、无压痕、无病虫害、味道爽甜。规格为65-70直径/个</w:t>
            </w:r>
          </w:p>
        </w:tc>
        <w:tc>
          <w:tcPr>
            <w:tcW w:w="709"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苹果</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具有本品种特有的外形，果面光滑有光泽，具有本品种应有的自然色泽；无斑点或极少果锈，不起皱，无裂口，无压痕及其他机械损伤和冻伤黑斑；果身重，硬朗；口感汁液饱满，无苦涩味，无木栓化组织。</w:t>
            </w:r>
            <w:r>
              <w:rPr>
                <w:rFonts w:hint="eastAsia" w:ascii="宋体" w:hAnsi="宋体" w:eastAsia="宋体" w:cs="宋体"/>
                <w:color w:val="000000"/>
                <w:kern w:val="0"/>
                <w:sz w:val="21"/>
                <w:szCs w:val="21"/>
              </w:rPr>
              <w:t>规格为65-70直径/</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桔子</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按要求提供品种,果实小而扁，大小40-60</w:t>
            </w:r>
            <w:r>
              <w:rPr>
                <w:rFonts w:hint="eastAsia" w:ascii="宋体" w:hAnsi="宋体" w:eastAsia="宋体" w:cs="宋体"/>
                <w:color w:val="000000"/>
                <w:kern w:val="0"/>
                <w:sz w:val="21"/>
                <w:szCs w:val="21"/>
              </w:rPr>
              <w:t>直径/个</w:t>
            </w:r>
            <w:r>
              <w:rPr>
                <w:rFonts w:hint="eastAsia" w:ascii="宋体" w:hAnsi="宋体" w:eastAsia="宋体" w:cs="宋体"/>
                <w:color w:val="000000"/>
                <w:sz w:val="21"/>
                <w:szCs w:val="21"/>
              </w:rPr>
              <w:t>，果面新鲜光洁无裂口，无机械伤，无病斑及腐烂现象，果蒂完</w:t>
            </w:r>
          </w:p>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整平齐，易剥落，桔络少。</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有籽、无籽西瓜</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按要求提供品种,具有本品种应有的形状，果色清新光亮，条纹清晰，果皮无伤痕，无水份腐烂，无干疤，无虫眼，无病斑，果柄茸毛脱落，脐部凹陷，水份大，甜度高，切开鲜艳光泽，无异味及黑瓤。</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葡萄</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按要求提供品种,具有本品种应具有的外形、色泽；果粒面完好，皮上无斑痕，果珠饱满，轻提果穗枝梗，微微抖动，果实不抖落或抖落极少</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荔枝</w:t>
            </w: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果皮鲜红，稍带紫色；果肉透明、爽口、甜度适中，无裂果，无腐烂，无病虫害，无药害及其它伤害。</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香蕉</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5386" w:type="dxa"/>
            <w:noWrap w:val="0"/>
            <w:vAlign w:val="center"/>
          </w:tcPr>
          <w:p>
            <w:pPr>
              <w:keepNext w:val="0"/>
              <w:keepLines w:val="0"/>
              <w:pageBreakBefore w:val="0"/>
              <w:widowControl/>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果实丰满，果形端正，梳柄完整，不缺只口，单果均匀；色泽自然、光亮；皮色青黄，果面光滑，无病黑斑，无虫疤，无霉菌，无创伤；果肉稍硬；果皮可剥或易剥；规格计量0.1</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-0.15</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/根</w:t>
            </w:r>
          </w:p>
        </w:tc>
        <w:tc>
          <w:tcPr>
            <w:tcW w:w="70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0"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干货类</w:t>
            </w:r>
          </w:p>
        </w:tc>
        <w:tc>
          <w:tcPr>
            <w:tcW w:w="865"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木耳、粉丝、香菇、紫菜、大料、花料、尤鱼、墨鱼 等</w:t>
            </w:r>
          </w:p>
        </w:tc>
        <w:tc>
          <w:tcPr>
            <w:tcW w:w="5386" w:type="dxa"/>
            <w:noWrap w:val="0"/>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黑木耳的质量一般以条形大而完整,耳瓣舒展少卷曲，内厚黑，富于光泽,体干不霉,无杂质和碎者为优,反之则差；属山珍类干料干爽、不霉烂、朵小柄短、大小均匀、无虫蛀、无杂质、保持相应的色泽，是检验干香菇质量的标准。质量好的粉丝,粉条细长,白净,晶莹透明、丝条均匀、整齐、干燥、不易手折断、无斑点、黑迹、无霉变、有粉丝特有的光泽。紫菜属海产红藻类植物,因鲜紫菜叶较宽大,经干制成长方块形,散片状卷筒形柔嫩微脆、叶薄、色紫清香鲜美的为品质优。大料、</w:t>
            </w:r>
            <w:r>
              <w:rPr>
                <w:rFonts w:hint="eastAsia" w:ascii="宋体" w:hAnsi="宋体" w:eastAsia="宋体" w:cs="宋体"/>
                <w:color w:val="000000"/>
                <w:sz w:val="21"/>
                <w:szCs w:val="21"/>
              </w:rPr>
              <w:t>花料</w:t>
            </w:r>
            <w:r>
              <w:rPr>
                <w:rFonts w:hint="eastAsia" w:ascii="宋体" w:hAnsi="宋体" w:eastAsia="宋体" w:cs="宋体"/>
                <w:color w:val="000000"/>
                <w:kern w:val="0"/>
                <w:sz w:val="21"/>
                <w:szCs w:val="21"/>
              </w:rPr>
              <w:t>:壳色红艳油润，果实开口而不含或少含籽粒，无枝干及杂质、不破碎污染的为好。色泽棕红，多大均匀，呈八角形，骨朵饱满干裂、香气浓郁，破碎和脱壳不超过10%。</w:t>
            </w:r>
            <w:r>
              <w:rPr>
                <w:rFonts w:hint="eastAsia" w:ascii="宋体" w:hAnsi="宋体" w:eastAsia="宋体" w:cs="宋体"/>
                <w:color w:val="000000"/>
                <w:sz w:val="21"/>
                <w:szCs w:val="21"/>
              </w:rPr>
              <w:t>墨鱼体形完整色泽为光亮洁净，肉体平展、宽厚，呈棕红色半透明状，有墨鱼清香味形较大者为卜品;局部有褐斑，表面带粉自色，背部呈暗红色者次品目前市场有用工业碱发制的，应注意鉴别，不可购买。鱿鱼形体完整、均匀，呈扁平薄块状，肉腕无残缺，肉体洁净、无损伤；肉质结实、肥厚。色泽呈黄白色或粉红色，半透明，体表略有白霜。</w:t>
            </w:r>
            <w:r>
              <w:rPr>
                <w:rFonts w:hint="eastAsia" w:ascii="宋体" w:hAnsi="宋体" w:eastAsia="宋体" w:cs="宋体"/>
                <w:color w:val="000000"/>
                <w:kern w:val="0"/>
                <w:sz w:val="21"/>
                <w:szCs w:val="21"/>
              </w:rPr>
              <w:t>实物数量要与</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计划数量相符。</w:t>
            </w:r>
          </w:p>
        </w:tc>
        <w:tc>
          <w:tcPr>
            <w:tcW w:w="709"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采购员</w:t>
            </w:r>
          </w:p>
        </w:tc>
        <w:tc>
          <w:tcPr>
            <w:tcW w:w="850"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值班人员及保管员</w:t>
            </w: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tc>
        <w:tc>
          <w:tcPr>
            <w:tcW w:w="851" w:type="dxa"/>
            <w:noWrap w:val="0"/>
            <w:vAlign w:val="center"/>
          </w:tcPr>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跟班厨师长、食堂主管</w:t>
            </w:r>
          </w:p>
        </w:tc>
      </w:tr>
    </w:tbl>
    <w:p>
      <w:pPr>
        <w:pStyle w:val="100"/>
        <w:ind w:firstLine="0" w:firstLineChars="0"/>
        <w:jc w:val="left"/>
        <w:rPr>
          <w:rFonts w:hint="eastAsia" w:ascii="宋体" w:hAnsi="宋体" w:eastAsia="宋体" w:cs="宋体"/>
          <w:b/>
          <w:color w:val="000000"/>
          <w:sz w:val="21"/>
          <w:szCs w:val="21"/>
        </w:rPr>
      </w:pPr>
    </w:p>
    <w:p>
      <w:pPr>
        <w:pStyle w:val="100"/>
        <w:ind w:firstLine="0" w:firstLineChars="0"/>
        <w:jc w:val="left"/>
        <w:rPr>
          <w:rFonts w:hint="eastAsia" w:ascii="宋体" w:hAnsi="宋体" w:eastAsia="宋体" w:cs="宋体"/>
          <w:b/>
          <w:color w:val="000000"/>
          <w:sz w:val="21"/>
          <w:szCs w:val="21"/>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sz w:val="21"/>
          <w:szCs w:val="21"/>
        </w:rPr>
      </w:pPr>
      <w:r>
        <w:rPr>
          <w:rFonts w:hint="eastAsia" w:ascii="宋体" w:hAnsi="宋体" w:eastAsia="宋体" w:cs="宋体"/>
          <w:b/>
          <w:bCs/>
          <w:sz w:val="24"/>
          <w:szCs w:val="24"/>
          <w:lang w:val="en-US" w:eastAsia="zh-CN"/>
        </w:rPr>
        <w:t xml:space="preserve">附件2：                     </w:t>
      </w:r>
      <w:r>
        <w:rPr>
          <w:rFonts w:hint="eastAsia" w:ascii="宋体" w:hAnsi="宋体" w:eastAsia="宋体" w:cs="宋体"/>
          <w:b/>
          <w:color w:val="000000"/>
          <w:kern w:val="0"/>
          <w:sz w:val="24"/>
          <w:szCs w:val="24"/>
          <w:lang w:val="en-US" w:eastAsia="zh-CN" w:bidi="ar-SA"/>
        </w:rPr>
        <w:t>廉洁履约协议书</w:t>
      </w:r>
      <w:r>
        <w:rPr>
          <w:rFonts w:hint="eastAsia" w:ascii="宋体" w:hAnsi="宋体" w:eastAsia="宋体" w:cs="宋体"/>
          <w:color w:val="000000"/>
          <w:sz w:val="24"/>
          <w:szCs w:val="24"/>
        </w:rPr>
        <w:t xml:space="preserve">   </w:t>
      </w:r>
      <w:r>
        <w:rPr>
          <w:rFonts w:hint="eastAsia" w:ascii="宋体" w:hAnsi="宋体" w:eastAsia="宋体" w:cs="宋体"/>
          <w:color w:val="000000"/>
          <w:sz w:val="21"/>
          <w:szCs w:val="21"/>
        </w:rPr>
        <w:t xml:space="preserve">                   </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为共同打造高信用、高品质的“品牌英雄联盟”，充分联结赋能共享，强化甲乙双方守法经营、廉洁自律意识，防范违法违纪行为，保障合同双方的经济活动合法有序开展，维护国家、集体利益和合同当事人的合法权益，特订立本廉洁履约协议书：</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2" w:firstLineChars="200"/>
        <w:textAlignment w:val="auto"/>
        <w:rPr>
          <w:rFonts w:hint="eastAsia" w:ascii="宋体" w:hAnsi="宋体" w:eastAsia="宋体" w:cs="宋体"/>
          <w:color w:val="000000"/>
          <w:sz w:val="21"/>
          <w:szCs w:val="21"/>
        </w:rPr>
      </w:pPr>
      <w:r>
        <w:rPr>
          <w:rFonts w:hint="eastAsia" w:ascii="宋体" w:hAnsi="宋体" w:eastAsia="宋体" w:cs="宋体"/>
          <w:b/>
          <w:color w:val="000000"/>
          <w:sz w:val="21"/>
          <w:szCs w:val="21"/>
        </w:rPr>
        <w:t>第一条 甲方义务</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 甲方与本业务相关人员及其特定关系人不得以投资入股或其他形式与乙方存在利益关系。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本廉洁协议所称“特定关系人”是指，与甲方本业务相关人员有近亲属、情妇（夫）以及其他共同利益关系的人。</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 甲方与本业务相关人员及其特定关系人不得参与乙方相关业务；不得向乙方推荐分包单位或要求购买合同规定外的材料和设备等。</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0" w:firstLineChars="200"/>
        <w:textAlignment w:val="auto"/>
        <w:rPr>
          <w:rFonts w:hint="eastAsia" w:ascii="宋体" w:hAnsi="宋体" w:eastAsia="宋体" w:cs="宋体"/>
          <w:b/>
          <w:color w:val="000000"/>
          <w:sz w:val="21"/>
          <w:szCs w:val="21"/>
        </w:rPr>
      </w:pPr>
      <w:r>
        <w:rPr>
          <w:rFonts w:hint="eastAsia" w:ascii="宋体" w:hAnsi="宋体" w:eastAsia="宋体" w:cs="宋体"/>
          <w:color w:val="000000"/>
          <w:sz w:val="21"/>
          <w:szCs w:val="21"/>
        </w:rPr>
        <w:t>3. 甲方与本业务相关人员及其特定关系人不得索要或接受乙方的礼金、有价证券和贵重物品；不得接受乙方安排的请吃、请钓、请游等消费娱乐活动；不得以借用为名占用乙方财物；不得在乙方报销任何应由个人支付的费用；不得邀请或接受乙方参加家中乔迁、寿宴、子女升学及婚丧嫁娶等。</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第二条 乙方义务</w:t>
      </w:r>
    </w:p>
    <w:p>
      <w:pPr>
        <w:keepNext w:val="0"/>
        <w:keepLines w:val="0"/>
        <w:pageBreakBefore w:val="0"/>
        <w:widowControl w:val="0"/>
        <w:tabs>
          <w:tab w:val="left" w:pos="900"/>
        </w:tabs>
        <w:kinsoku/>
        <w:wordWrap/>
        <w:overflowPunct/>
        <w:topLinePunct w:val="0"/>
        <w:autoSpaceDE/>
        <w:autoSpaceDN/>
        <w:bidi w:val="0"/>
        <w:spacing w:line="360" w:lineRule="exact"/>
        <w:ind w:right="281" w:rightChars="134" w:firstLine="420" w:firstLineChars="200"/>
        <w:textAlignment w:val="auto"/>
        <w:rPr>
          <w:rFonts w:hint="eastAsia" w:ascii="宋体" w:hAnsi="宋体" w:eastAsia="宋体" w:cs="宋体"/>
          <w:b/>
          <w:color w:val="000000"/>
          <w:sz w:val="21"/>
          <w:szCs w:val="21"/>
        </w:rPr>
      </w:pPr>
      <w:r>
        <w:rPr>
          <w:rFonts w:hint="eastAsia" w:ascii="宋体" w:hAnsi="宋体" w:eastAsia="宋体" w:cs="宋体"/>
          <w:color w:val="000000"/>
          <w:sz w:val="21"/>
          <w:szCs w:val="21"/>
        </w:rPr>
        <w:t>1.保证在参与甲方采购活动的过程中提供的各种证照真实、合法、齐全、有效。保证乙方单位、法定代表人（实际控制人）、高级管理人员三年内无刑事犯罪记录，无因招投标活动受过行政处罚以及其他违法犯罪记录，并坚决抵制围标串标、买卖资质、恶意投诉等违法违规及违反诚信原则的行为。</w:t>
      </w:r>
    </w:p>
    <w:p>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2.不得接受甲方与本业务相关人员及其特定关系人投资入股。</w:t>
      </w:r>
    </w:p>
    <w:p>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不得安排甲方本业务相关人员的特定关系人在乙方或乙方关联单位工作。不得从甲方本业务相关人员的特定关系人或其投资的企业处进行采购。不得将工程与采购合同转包，不得将工程与采购合同分包给甲方本业务相关人员的特定关系人或其投资的企业。</w:t>
      </w:r>
    </w:p>
    <w:p>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乙方及乙方工作人员不得向甲方人员及其特定关系人行贿。不得为甲方人员及其特定关系人报销学习、培训、旅游、出国留学等应由个人支付的任何费用。不得邀请甲方本业务相关人员及其特定关系人进行吃、钓、游、玩、赌等消费娱乐或赌博活动。</w:t>
      </w:r>
    </w:p>
    <w:p>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5.在与甲方的业务合作过程中，如发现甲方人员“索、拿、卡、要”等违规违纪问题，应及时向甲方纪检监察部门进行举报。</w:t>
      </w:r>
    </w:p>
    <w:p>
      <w:pPr>
        <w:keepNext w:val="0"/>
        <w:keepLines w:val="0"/>
        <w:pageBreakBefore w:val="0"/>
        <w:widowControl w:val="0"/>
        <w:kinsoku/>
        <w:wordWrap/>
        <w:overflowPunct/>
        <w:topLinePunct w:val="0"/>
        <w:autoSpaceDE/>
        <w:autoSpaceDN/>
        <w:bidi w:val="0"/>
        <w:spacing w:line="360" w:lineRule="exact"/>
        <w:ind w:firstLine="527" w:firstLineChars="25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第三条 违约责任</w:t>
      </w:r>
    </w:p>
    <w:p>
      <w:pPr>
        <w:keepNext w:val="0"/>
        <w:keepLines w:val="0"/>
        <w:pageBreakBefore w:val="0"/>
        <w:widowControl w:val="0"/>
        <w:kinsoku/>
        <w:wordWrap/>
        <w:overflowPunct/>
        <w:topLinePunct w:val="0"/>
        <w:autoSpaceDE/>
        <w:autoSpaceDN/>
        <w:bidi w:val="0"/>
        <w:spacing w:line="360" w:lineRule="exact"/>
        <w:ind w:firstLine="525" w:firstLineChars="2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1.甲方相关工作人员违反本廉洁协议的第一条约定的，一经查实，严格按照管理要求，依据有关党纪、法律法规、规章制度给予纪律处分或组织处理；涉嫌犯罪的，移送司法机关依法追究刑事责任。</w:t>
      </w:r>
    </w:p>
    <w:p>
      <w:pPr>
        <w:keepNext w:val="0"/>
        <w:keepLines w:val="0"/>
        <w:pageBreakBefore w:val="0"/>
        <w:widowControl w:val="0"/>
        <w:kinsoku/>
        <w:wordWrap/>
        <w:overflowPunct/>
        <w:topLinePunct w:val="0"/>
        <w:autoSpaceDE/>
        <w:autoSpaceDN/>
        <w:bidi w:val="0"/>
        <w:spacing w:line="360" w:lineRule="exact"/>
        <w:ind w:firstLine="525" w:firstLineChars="250"/>
        <w:textAlignment w:val="auto"/>
        <w:rPr>
          <w:rFonts w:hint="eastAsia" w:ascii="宋体" w:hAnsi="宋体" w:eastAsia="宋体" w:cs="宋体"/>
          <w:b/>
          <w:color w:val="000000"/>
          <w:kern w:val="0"/>
          <w:sz w:val="21"/>
          <w:szCs w:val="21"/>
        </w:rPr>
      </w:pPr>
      <w:r>
        <w:rPr>
          <w:rFonts w:hint="eastAsia" w:ascii="宋体" w:hAnsi="宋体" w:eastAsia="宋体" w:cs="宋体"/>
          <w:color w:val="000000"/>
          <w:sz w:val="21"/>
          <w:szCs w:val="21"/>
        </w:rPr>
        <w:t>2.乙方及其相关工作人员违反本廉洁协议书第二条规定的，一经查实，</w:t>
      </w:r>
      <w:r>
        <w:rPr>
          <w:rFonts w:hint="eastAsia" w:ascii="宋体" w:hAnsi="宋体" w:eastAsia="宋体" w:cs="宋体"/>
          <w:b/>
          <w:color w:val="000000"/>
          <w:sz w:val="21"/>
          <w:szCs w:val="21"/>
        </w:rPr>
        <w:t>根据甲方供应商管理有关制度中对供应商不良行为处理的相关规定，甲方可对乙方采取在一定期限内，禁止其参加甲方新采购项目的处理。</w:t>
      </w:r>
      <w:r>
        <w:rPr>
          <w:rFonts w:hint="eastAsia" w:ascii="宋体" w:hAnsi="宋体" w:eastAsia="宋体" w:cs="宋体"/>
          <w:b/>
          <w:color w:val="000000"/>
          <w:kern w:val="0"/>
          <w:sz w:val="21"/>
          <w:szCs w:val="21"/>
        </w:rPr>
        <w:t>同时，甲方可单方解除</w:t>
      </w:r>
      <w:r>
        <w:rPr>
          <w:rFonts w:hint="eastAsia" w:ascii="宋体" w:hAnsi="宋体" w:eastAsia="宋体" w:cs="宋体"/>
          <w:color w:val="000000"/>
          <w:sz w:val="21"/>
          <w:szCs w:val="21"/>
          <w:u w:val="single"/>
        </w:rPr>
        <w:t>（合同名，合同编号）</w:t>
      </w:r>
      <w:r>
        <w:rPr>
          <w:rFonts w:hint="eastAsia" w:ascii="宋体" w:hAnsi="宋体" w:eastAsia="宋体" w:cs="宋体"/>
          <w:color w:val="000000"/>
          <w:sz w:val="21"/>
          <w:szCs w:val="21"/>
        </w:rPr>
        <w:t>合同</w:t>
      </w:r>
      <w:r>
        <w:rPr>
          <w:rFonts w:hint="eastAsia" w:ascii="宋体" w:hAnsi="宋体" w:eastAsia="宋体" w:cs="宋体"/>
          <w:b/>
          <w:color w:val="000000"/>
          <w:kern w:val="0"/>
          <w:sz w:val="21"/>
          <w:szCs w:val="21"/>
        </w:rPr>
        <w:t>，且有权通过媒体公开上述行为。</w:t>
      </w:r>
    </w:p>
    <w:p>
      <w:pPr>
        <w:keepNext w:val="0"/>
        <w:keepLines w:val="0"/>
        <w:pageBreakBefore w:val="0"/>
        <w:widowControl w:val="0"/>
        <w:kinsoku/>
        <w:wordWrap/>
        <w:overflowPunct/>
        <w:topLinePunct w:val="0"/>
        <w:autoSpaceDE/>
        <w:autoSpaceDN/>
        <w:bidi w:val="0"/>
        <w:spacing w:line="360" w:lineRule="exact"/>
        <w:ind w:firstLine="525" w:firstLineChars="2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3.乙方及其相关工作人员违反本廉洁协议书第二条规定，给甲方单位造成经济损失的，应依法予以赔偿。</w:t>
      </w:r>
    </w:p>
    <w:p>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第四条 协议书生效及法律效力</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1.本廉洁协议书为（合同名，合同编号）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合同附件，与主合同具有同等法律效力，双方应接受并严格遵守。</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2.本廉洁协议书经双方法定代表人签字盖章后生效。</w:t>
      </w:r>
    </w:p>
    <w:p>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第五条 协议书份数</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本廉洁协议书一式</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份，甲方持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份，乙方持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份。具有同等法律效力。</w:t>
      </w:r>
    </w:p>
    <w:p>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第六条 特别提示</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甲乙双方确认在签订本廉洁协议书前已仔细阅读本协议条款内容，甲乙双方对本廉洁协议书所约定的内容已准确理解，对其产生的法律责任已清楚知悉，并承诺遵守。</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840" w:firstLineChars="4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甲方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      乙方</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年    月   日                    年    月   日</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 xml:space="preserve">             </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食堂供应商食品安全责任书</w:t>
      </w:r>
    </w:p>
    <w:p>
      <w:pPr>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甲方：</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乙方：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根据《中华人民共和国食品卫生法》、《中华人民共和食品卫生法实施条例》的规定、为落实食品安全工作责任制，强化食品安全工作的监督力度，防患于未然，结合食品生产经营的实际情况，特制定本责任书。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一、责任书起止时间：  年     月   日至    年    月    日，到期自然终止。</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二、供应商要求：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1、凡是给学校食堂供货的供应商必须向学校提供有效的营业执照、卫生许可证、食品生产许可证、税务登记证、企业组织机构代码证、食品原辅材料的《质检报告》等。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2、供应商每次供货必须根据甲方确定的产品进行供货，供应商不能提供非甲方确定的产品进行供货，由此产生的一切问题由供应商自己承担。</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3、供应商供货的同时必须提供食品原材料的供货清单，注明供货单位，供货品名、规格、斤两、单价、生产日期、保质期及供货时间一式两联加盖公章。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不得向甲方提供对人体有害的食品原辅材料，供应商提供的食品原辅材料中不得添加国家法规规定的对人体有害的添加剂，供应商严格遵守中华人民共和国《产品质量法》、《食品卫生法》、《食品生产加工企业质量监督管理办法》、《餐饮业食品卫生管理办法》等相关法律、法规的规定，保证食品原辅材料质量安全符合国家有关产品质量标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三、责任追究</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1、凡供货商违反本责任书第二条之规定者， 甲方有权立即终止与供货商签订的供货协议，并有权追究供应商的经济赔偿责任。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本责任书以中华人民共和国《食品卫生法》等有关食品生产的法律法规为执行细则，由于供应商所提供的食品原辅材料所造成的事故或责任，若构成犯罪则移送司法机关追究责任人的刑事责任，同时甲方将视情节轻重向责任方主张经济赔偿和违约金。</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四、本责任书经甲、乙双方签字并盖公章后生效。此责任书一式二份，甲乙双方各执一份。</w:t>
      </w:r>
    </w:p>
    <w:p>
      <w:pPr>
        <w:keepNext w:val="0"/>
        <w:keepLines w:val="0"/>
        <w:pageBreakBefore w:val="0"/>
        <w:widowControl w:val="0"/>
        <w:kinsoku/>
        <w:wordWrap/>
        <w:overflowPunct/>
        <w:topLinePunct w:val="0"/>
        <w:autoSpaceDE/>
        <w:autoSpaceDN/>
        <w:bidi w:val="0"/>
        <w:adjustRightInd w:val="0"/>
        <w:snapToGrid w:val="0"/>
        <w:spacing w:line="360" w:lineRule="auto"/>
        <w:ind w:firstLine="3255" w:firstLineChars="1550"/>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甲方（签字盖章）：                         乙方（签字盖章）</w:t>
      </w:r>
    </w:p>
    <w:p>
      <w:pPr>
        <w:keepNext w:val="0"/>
        <w:keepLines w:val="0"/>
        <w:pageBreakBefore w:val="0"/>
        <w:widowControl w:val="0"/>
        <w:kinsoku/>
        <w:wordWrap/>
        <w:overflowPunct/>
        <w:topLinePunct w:val="0"/>
        <w:autoSpaceDE/>
        <w:autoSpaceDN/>
        <w:bidi w:val="0"/>
        <w:adjustRightInd w:val="0"/>
        <w:snapToGrid w:val="0"/>
        <w:spacing w:line="360" w:lineRule="auto"/>
        <w:ind w:firstLine="2835" w:firstLineChars="1350"/>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sz w:val="21"/>
          <w:szCs w:val="21"/>
        </w:rPr>
      </w:pPr>
      <w:r>
        <w:rPr>
          <w:rFonts w:hint="eastAsia" w:ascii="宋体" w:hAnsi="宋体" w:eastAsia="宋体" w:cs="宋体"/>
          <w:sz w:val="21"/>
          <w:szCs w:val="21"/>
        </w:rPr>
        <w:t>年      月     日                         年      月     日</w:t>
      </w:r>
    </w:p>
    <w:p>
      <w:pPr>
        <w:pStyle w:val="22"/>
        <w:adjustRightInd w:val="0"/>
        <w:snapToGrid w:val="0"/>
        <w:spacing w:line="360" w:lineRule="auto"/>
        <w:jc w:val="center"/>
        <w:outlineLvl w:val="0"/>
        <w:rPr>
          <w:rFonts w:hint="default" w:ascii="黑体" w:hAnsi="华文中宋" w:eastAsia="黑体"/>
          <w:b/>
          <w:sz w:val="32"/>
          <w:szCs w:val="32"/>
          <w:lang w:val="en-US" w:eastAsia="zh-CN"/>
        </w:rPr>
      </w:pPr>
    </w:p>
    <w:p>
      <w:pPr>
        <w:pStyle w:val="22"/>
        <w:adjustRightInd w:val="0"/>
        <w:snapToGrid w:val="0"/>
        <w:spacing w:line="360" w:lineRule="auto"/>
        <w:jc w:val="center"/>
        <w:outlineLvl w:val="0"/>
        <w:rPr>
          <w:rFonts w:hint="default" w:ascii="黑体" w:hAnsi="华文中宋" w:eastAsia="黑体"/>
          <w:b/>
          <w:sz w:val="32"/>
          <w:szCs w:val="32"/>
          <w:lang w:val="en-US" w:eastAsia="zh-CN"/>
        </w:rPr>
      </w:pPr>
    </w:p>
    <w:p>
      <w:pPr>
        <w:pStyle w:val="22"/>
        <w:adjustRightInd w:val="0"/>
        <w:snapToGrid w:val="0"/>
        <w:spacing w:line="360" w:lineRule="auto"/>
        <w:jc w:val="center"/>
        <w:outlineLvl w:val="0"/>
        <w:rPr>
          <w:rFonts w:hint="eastAsia" w:ascii="黑体" w:hAnsi="华文中宋" w:eastAsia="黑体"/>
          <w:b/>
          <w:sz w:val="32"/>
          <w:szCs w:val="32"/>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 xml:space="preserve">4                      </w:t>
      </w:r>
      <w:r>
        <w:rPr>
          <w:rFonts w:hint="eastAsia" w:ascii="宋体" w:hAnsi="宋体" w:eastAsia="宋体" w:cs="宋体"/>
          <w:b/>
          <w:bCs/>
          <w:sz w:val="24"/>
          <w:szCs w:val="24"/>
          <w:lang w:val="en-US" w:eastAsia="zh-CN"/>
        </w:rPr>
        <w:t>无不良行为承诺书</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郑重承诺：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我公司具有健全的财务会计制度，依法缴纳税收，在提交投标文件截止时间前的三年内没有违法、违规等不良行为记录，没有被政府职能部门通报的不良行为记录。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我公司珍惜公司声誉，没有因腐败或欺诈行为而仍被政府或业主宣布取消投标资格的记录。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我公司参与此招标项目的员工在提交投标文件截止时间前的五年内没有司法机关或纪律监察机关已书面认定的行贿受贿记录。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我公司对上述内容的补充说明：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我公司承诺，如我公司在投标文件中没有充分披露公司本承诺书中所述的相关负面信息，视同弄虚作假，我公司自愿接受</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做出的取消投标资格、取消中标资格、解除已签署的合同的处理决定，绝不提出任何异议、绝不向</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主张任何权利。</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特此承诺！</w:t>
      </w: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投标人名称（盖章）：</w:t>
      </w: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投标人代表签字：</w:t>
      </w:r>
    </w:p>
    <w:p>
      <w:pPr>
        <w:keepNext w:val="0"/>
        <w:keepLines w:val="0"/>
        <w:pageBreakBefore w:val="0"/>
        <w:widowControl w:val="0"/>
        <w:kinsoku/>
        <w:wordWrap/>
        <w:overflowPunct/>
        <w:topLinePunct w:val="0"/>
        <w:autoSpaceDE/>
        <w:autoSpaceDN/>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hint="eastAsia" w:ascii="黑体" w:hAnsi="华文中宋" w:eastAsia="黑体"/>
          <w:b/>
          <w:sz w:val="32"/>
          <w:szCs w:val="32"/>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5   供货反应速度及供货质量承诺书</w:t>
      </w:r>
    </w:p>
    <w:p>
      <w:pPr>
        <w:spacing w:line="360" w:lineRule="auto"/>
        <w:jc w:val="left"/>
        <w:rPr>
          <w:rFonts w:ascii="仿宋" w:hAnsi="仿宋" w:eastAsia="仿宋"/>
          <w:color w:val="000000"/>
          <w:sz w:val="24"/>
        </w:rPr>
      </w:pPr>
      <w:r>
        <w:rPr>
          <w:rFonts w:ascii="仿宋" w:hAnsi="仿宋" w:eastAsia="仿宋"/>
          <w:color w:val="000000"/>
          <w:szCs w:val="21"/>
        </w:rPr>
        <w:t xml:space="preserve">  </w:t>
      </w:r>
      <w:r>
        <w:rPr>
          <w:rFonts w:ascii="仿宋" w:hAnsi="仿宋" w:eastAsia="仿宋"/>
          <w:color w:val="000000"/>
          <w:sz w:val="24"/>
        </w:rPr>
        <w:t xml:space="preserve">  </w:t>
      </w:r>
    </w:p>
    <w:p>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我单位</w:t>
      </w:r>
      <w:r>
        <w:rPr>
          <w:rFonts w:hint="eastAsia" w:ascii="宋体" w:hAnsi="宋体" w:eastAsia="宋体" w:cs="宋体"/>
          <w:color w:val="000000"/>
          <w:sz w:val="21"/>
          <w:szCs w:val="21"/>
          <w:u w:val="single"/>
        </w:rPr>
        <w:t xml:space="preserve">（投标人名称）                        </w:t>
      </w:r>
      <w:r>
        <w:rPr>
          <w:rFonts w:hint="eastAsia" w:ascii="宋体" w:hAnsi="宋体" w:eastAsia="宋体" w:cs="宋体"/>
          <w:color w:val="000000"/>
          <w:sz w:val="21"/>
          <w:szCs w:val="21"/>
        </w:rPr>
        <w:t>参加湖南科技学院</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的投标，现承诺，如我单位有幸中标，供应货品保证为合格货品。反应速度，在无特殊情况下，按规定时间提供所要求的货品到位。</w:t>
      </w:r>
    </w:p>
    <w:p>
      <w:pPr>
        <w:keepNext w:val="0"/>
        <w:keepLines w:val="0"/>
        <w:pageBreakBefore w:val="0"/>
        <w:widowControl w:val="0"/>
        <w:kinsoku/>
        <w:wordWrap/>
        <w:overflowPunct/>
        <w:topLinePunct w:val="0"/>
        <w:bidi w:val="0"/>
        <w:adjustRightInd w:val="0"/>
        <w:snapToGrid w:val="0"/>
        <w:spacing w:line="360" w:lineRule="auto"/>
        <w:ind w:right="420"/>
        <w:textAlignment w:val="auto"/>
        <w:rPr>
          <w:rFonts w:hint="eastAsia" w:ascii="宋体" w:hAnsi="宋体" w:eastAsia="宋体" w:cs="宋体"/>
          <w:color w:val="000000"/>
          <w:sz w:val="21"/>
          <w:szCs w:val="21"/>
        </w:rPr>
      </w:pPr>
    </w:p>
    <w:p>
      <w:pPr>
        <w:keepNext w:val="0"/>
        <w:keepLines w:val="0"/>
        <w:pageBreakBefore w:val="0"/>
        <w:widowControl w:val="0"/>
        <w:kinsoku/>
        <w:wordWrap/>
        <w:overflowPunct/>
        <w:topLinePunct w:val="0"/>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投标人名称（盖章）：</w:t>
      </w:r>
    </w:p>
    <w:p>
      <w:pPr>
        <w:keepNext w:val="0"/>
        <w:keepLines w:val="0"/>
        <w:pageBreakBefore w:val="0"/>
        <w:widowControl w:val="0"/>
        <w:kinsoku/>
        <w:wordWrap/>
        <w:overflowPunct/>
        <w:topLinePunct w:val="0"/>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投标人代表签字：</w:t>
      </w:r>
    </w:p>
    <w:p>
      <w:pPr>
        <w:keepNext w:val="0"/>
        <w:keepLines w:val="0"/>
        <w:pageBreakBefore w:val="0"/>
        <w:widowControl w:val="0"/>
        <w:kinsoku/>
        <w:wordWrap/>
        <w:overflowPunct/>
        <w:topLinePunct w:val="0"/>
        <w:bidi w:val="0"/>
        <w:adjustRightInd w:val="0"/>
        <w:snapToGrid w:val="0"/>
        <w:spacing w:line="360" w:lineRule="auto"/>
        <w:ind w:right="42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pPr>
        <w:pStyle w:val="2"/>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color w:val="000000"/>
          <w:sz w:val="21"/>
          <w:szCs w:val="21"/>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rPr>
          <w:rFonts w:hint="eastAsia"/>
        </w:rPr>
      </w:pPr>
    </w:p>
    <w:p>
      <w:pPr>
        <w:pStyle w:val="2"/>
        <w:rPr>
          <w:rFonts w:hint="eastAsia" w:ascii="仿宋" w:hAnsi="仿宋" w:eastAsia="仿宋"/>
          <w:color w:val="000000"/>
          <w:sz w:val="24"/>
        </w:rPr>
      </w:pPr>
    </w:p>
    <w:p>
      <w:pPr>
        <w:rPr>
          <w:rFonts w:hint="eastAsia" w:ascii="仿宋" w:hAnsi="仿宋" w:eastAsia="仿宋"/>
          <w:color w:val="000000"/>
          <w:sz w:val="24"/>
        </w:rPr>
      </w:pPr>
    </w:p>
    <w:p>
      <w:pPr>
        <w:pStyle w:val="2"/>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bCs/>
          <w:sz w:val="24"/>
          <w:szCs w:val="24"/>
          <w:lang w:val="en-US" w:eastAsia="zh-CN"/>
        </w:rPr>
      </w:pPr>
    </w:p>
    <w:p>
      <w:pPr>
        <w:pStyle w:val="22"/>
        <w:adjustRightInd w:val="0"/>
        <w:snapToGrid w:val="0"/>
        <w:spacing w:line="360" w:lineRule="auto"/>
        <w:jc w:val="center"/>
        <w:outlineLvl w:val="0"/>
        <w:rPr>
          <w:rFonts w:hint="eastAsia" w:ascii="黑体" w:hAnsi="华文中宋" w:eastAsia="黑体"/>
          <w:b/>
          <w:sz w:val="32"/>
          <w:szCs w:val="32"/>
        </w:rPr>
      </w:pPr>
    </w:p>
    <w:p>
      <w:pPr>
        <w:pStyle w:val="22"/>
        <w:adjustRightInd w:val="0"/>
        <w:snapToGrid w:val="0"/>
        <w:spacing w:line="360" w:lineRule="auto"/>
        <w:jc w:val="center"/>
        <w:outlineLvl w:val="0"/>
        <w:rPr>
          <w:rFonts w:ascii="黑体" w:hAnsi="华文中宋" w:eastAsia="黑体"/>
          <w:b/>
          <w:sz w:val="32"/>
          <w:szCs w:val="32"/>
        </w:rPr>
      </w:pPr>
      <w:r>
        <w:rPr>
          <w:rFonts w:hint="eastAsia" w:ascii="黑体" w:hAnsi="华文中宋" w:eastAsia="黑体"/>
          <w:b/>
          <w:sz w:val="32"/>
          <w:szCs w:val="32"/>
        </w:rPr>
        <w:t>第七章 投标文件的组成</w:t>
      </w:r>
      <w:bookmarkEnd w:id="107"/>
    </w:p>
    <w:p>
      <w:pPr>
        <w:adjustRightInd w:val="0"/>
        <w:snapToGrid w:val="0"/>
        <w:spacing w:line="360" w:lineRule="auto"/>
        <w:ind w:left="-88" w:leftChars="-42"/>
        <w:jc w:val="center"/>
        <w:rPr>
          <w:b/>
          <w:bCs/>
          <w:sz w:val="32"/>
        </w:rPr>
      </w:pPr>
    </w:p>
    <w:p>
      <w:pPr>
        <w:adjustRightInd w:val="0"/>
        <w:snapToGrid w:val="0"/>
        <w:spacing w:before="156" w:beforeLines="50" w:line="360" w:lineRule="auto"/>
        <w:jc w:val="left"/>
        <w:rPr>
          <w:rFonts w:ascii="宋体" w:hAnsi="宋体"/>
          <w:b/>
          <w:szCs w:val="21"/>
        </w:rPr>
      </w:pPr>
      <w:r>
        <w:rPr>
          <w:rFonts w:hint="eastAsia" w:ascii="宋体" w:hAnsi="宋体"/>
          <w:b/>
          <w:szCs w:val="21"/>
        </w:rPr>
        <w:t>第一部分 资格证明文件</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一、开标一览表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二、投标保</w:t>
      </w:r>
      <w:r>
        <w:rPr>
          <w:rFonts w:hint="eastAsia" w:ascii="宋体" w:hAnsi="宋体"/>
          <w:bCs/>
          <w:szCs w:val="21"/>
        </w:rPr>
        <w:t>证金</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三、法定代表人授权委托书</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四、投标人提供的资格证明文件</w:t>
      </w:r>
    </w:p>
    <w:p>
      <w:pPr>
        <w:adjustRightInd w:val="0"/>
        <w:snapToGrid w:val="0"/>
        <w:spacing w:before="156" w:beforeLines="50" w:line="360" w:lineRule="auto"/>
        <w:jc w:val="left"/>
        <w:rPr>
          <w:rFonts w:ascii="宋体" w:hAnsi="宋体"/>
          <w:b/>
          <w:szCs w:val="21"/>
        </w:rPr>
      </w:pPr>
      <w:r>
        <w:rPr>
          <w:rFonts w:hint="eastAsia" w:ascii="宋体" w:hAnsi="宋体"/>
          <w:b/>
          <w:szCs w:val="21"/>
        </w:rPr>
        <w:t>第二部分 商务技术文件</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五、投标函</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六、分项报价</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七、采购需求响应</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八、合同条款偏离表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九、采购需求偏离表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十、享受政府采购政策优惠的证明资料和清单表</w:t>
      </w:r>
    </w:p>
    <w:p>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十一、投标货物符合招标文件规定的证明文件</w:t>
      </w:r>
    </w:p>
    <w:p>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十二、投标人认为需提供的其他资料</w:t>
      </w:r>
    </w:p>
    <w:p>
      <w:pPr>
        <w:adjustRightInd w:val="0"/>
        <w:snapToGrid w:val="0"/>
        <w:spacing w:before="156" w:beforeLines="50" w:line="360" w:lineRule="auto"/>
        <w:ind w:firstLine="420" w:firstLineChars="200"/>
        <w:jc w:val="left"/>
        <w:rPr>
          <w:rFonts w:asciiTheme="minorEastAsia" w:hAnsiTheme="minorEastAsia" w:eastAsiaTheme="minorEastAsia"/>
          <w:color w:val="000000"/>
          <w:szCs w:val="21"/>
        </w:rPr>
      </w:pPr>
      <w:r>
        <w:rPr>
          <w:rFonts w:hint="eastAsia" w:asciiTheme="minorEastAsia" w:hAnsiTheme="minorEastAsia" w:eastAsiaTheme="minorEastAsia"/>
          <w:szCs w:val="21"/>
        </w:rPr>
        <w:t>十三、</w:t>
      </w:r>
      <w:r>
        <w:rPr>
          <w:rFonts w:hint="eastAsia" w:asciiTheme="minorEastAsia" w:hAnsiTheme="minorEastAsia" w:eastAsiaTheme="minorEastAsia"/>
          <w:color w:val="000000"/>
          <w:szCs w:val="21"/>
        </w:rPr>
        <w:t>中标服务费承诺书</w:t>
      </w:r>
    </w:p>
    <w:p>
      <w:pPr>
        <w:adjustRightInd w:val="0"/>
        <w:snapToGrid w:val="0"/>
        <w:spacing w:before="156" w:beforeLines="50" w:line="360" w:lineRule="auto"/>
        <w:ind w:firstLine="420" w:firstLineChars="20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注：投标人可编制资格审查索引表、符合性审查索引表、评审索引表，以便采购人及采购代理机构资格审查和评标委员会评审。</w:t>
      </w:r>
    </w:p>
    <w:p>
      <w:pPr>
        <w:adjustRightInd w:val="0"/>
        <w:snapToGrid w:val="0"/>
        <w:spacing w:before="156" w:beforeLines="50" w:line="360" w:lineRule="auto"/>
        <w:ind w:firstLine="420" w:firstLineChars="200"/>
        <w:jc w:val="left"/>
        <w:rPr>
          <w:rFonts w:asciiTheme="minorEastAsia" w:hAnsiTheme="minorEastAsia" w:eastAsiaTheme="minorEastAsia"/>
          <w:color w:val="000000"/>
          <w:szCs w:val="21"/>
        </w:rPr>
      </w:pPr>
    </w:p>
    <w:p>
      <w:pPr>
        <w:adjustRightInd w:val="0"/>
        <w:snapToGrid w:val="0"/>
        <w:spacing w:line="360" w:lineRule="auto"/>
        <w:jc w:val="center"/>
        <w:rPr>
          <w:rFonts w:ascii="仿宋_GB2312" w:hAnsi="宋体" w:eastAsia="仿宋_GB2312"/>
          <w:color w:val="000000"/>
          <w:szCs w:val="21"/>
        </w:rPr>
      </w:pPr>
    </w:p>
    <w:p>
      <w:pPr>
        <w:adjustRightInd w:val="0"/>
        <w:snapToGrid w:val="0"/>
        <w:spacing w:line="360" w:lineRule="auto"/>
        <w:jc w:val="center"/>
        <w:rPr>
          <w:rFonts w:ascii="黑体" w:eastAsia="黑体"/>
          <w:color w:val="000000"/>
          <w:sz w:val="32"/>
          <w:szCs w:val="32"/>
        </w:rPr>
      </w:pPr>
      <w:r>
        <w:rPr>
          <w:rFonts w:ascii="仿宋_GB2312" w:hAnsi="宋体" w:eastAsia="仿宋_GB2312"/>
          <w:color w:val="000000"/>
          <w:szCs w:val="21"/>
        </w:rPr>
        <w:br w:type="page"/>
      </w:r>
    </w:p>
    <w:p>
      <w:pPr>
        <w:adjustRightInd w:val="0"/>
        <w:snapToGrid w:val="0"/>
        <w:spacing w:line="360" w:lineRule="auto"/>
        <w:jc w:val="center"/>
        <w:rPr>
          <w:rFonts w:ascii="黑体" w:eastAsia="黑体"/>
          <w:color w:val="000000"/>
          <w:sz w:val="32"/>
          <w:szCs w:val="32"/>
        </w:rPr>
      </w:pPr>
    </w:p>
    <w:p>
      <w:pPr>
        <w:adjustRightInd w:val="0"/>
        <w:snapToGrid w:val="0"/>
        <w:spacing w:line="360" w:lineRule="auto"/>
        <w:jc w:val="center"/>
        <w:rPr>
          <w:rFonts w:ascii="黑体" w:eastAsia="黑体"/>
          <w:color w:val="000000"/>
          <w:sz w:val="32"/>
          <w:szCs w:val="32"/>
        </w:rPr>
      </w:pPr>
    </w:p>
    <w:p>
      <w:pPr>
        <w:adjustRightInd w:val="0"/>
        <w:snapToGrid w:val="0"/>
        <w:spacing w:line="360" w:lineRule="auto"/>
        <w:jc w:val="center"/>
        <w:rPr>
          <w:rFonts w:ascii="黑体" w:eastAsia="黑体"/>
          <w:color w:val="000000"/>
          <w:sz w:val="32"/>
          <w:szCs w:val="32"/>
        </w:rPr>
      </w:pPr>
    </w:p>
    <w:p>
      <w:pPr>
        <w:pStyle w:val="22"/>
        <w:adjustRightInd w:val="0"/>
        <w:snapToGrid w:val="0"/>
        <w:spacing w:line="360" w:lineRule="auto"/>
        <w:jc w:val="center"/>
        <w:rPr>
          <w:rFonts w:asciiTheme="minorEastAsia" w:hAnsiTheme="minorEastAsia" w:eastAsiaTheme="minorEastAsia"/>
          <w:b/>
          <w:bCs/>
          <w:sz w:val="72"/>
          <w:szCs w:val="72"/>
        </w:rPr>
      </w:pPr>
      <w:r>
        <w:rPr>
          <w:rFonts w:hint="eastAsia" w:asciiTheme="minorEastAsia" w:hAnsiTheme="minorEastAsia" w:eastAsiaTheme="minorEastAsia"/>
          <w:b/>
          <w:bCs/>
          <w:sz w:val="72"/>
          <w:szCs w:val="72"/>
        </w:rPr>
        <w:t>采</w:t>
      </w:r>
      <w:r>
        <w:rPr>
          <w:rFonts w:hint="eastAsia" w:asciiTheme="minorEastAsia" w:hAnsiTheme="minorEastAsia" w:eastAsiaTheme="minorEastAsia"/>
          <w:b/>
          <w:bCs/>
          <w:sz w:val="72"/>
          <w:szCs w:val="72"/>
          <w:lang w:val="en-US" w:eastAsia="zh-CN"/>
        </w:rPr>
        <w:t xml:space="preserve">  </w:t>
      </w:r>
      <w:r>
        <w:rPr>
          <w:rFonts w:hint="eastAsia" w:asciiTheme="minorEastAsia" w:hAnsiTheme="minorEastAsia" w:eastAsiaTheme="minorEastAsia"/>
          <w:b/>
          <w:bCs/>
          <w:sz w:val="72"/>
          <w:szCs w:val="72"/>
        </w:rPr>
        <w:t>购</w:t>
      </w:r>
    </w:p>
    <w:p>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pPr>
        <w:pStyle w:val="4"/>
        <w:adjustRightInd w:val="0"/>
        <w:snapToGrid w:val="0"/>
        <w:jc w:val="center"/>
        <w:rPr>
          <w:rFonts w:ascii="黑体" w:hAnsi="黑体" w:eastAsia="黑体"/>
          <w:color w:val="000000"/>
          <w:sz w:val="44"/>
          <w:szCs w:val="44"/>
        </w:rPr>
      </w:pPr>
      <w:bookmarkStart w:id="108" w:name="_Toc20651241"/>
      <w:r>
        <w:rPr>
          <w:rFonts w:hint="eastAsia" w:ascii="黑体" w:hAnsi="黑体" w:eastAsia="黑体"/>
          <w:color w:val="000000"/>
          <w:sz w:val="44"/>
          <w:szCs w:val="44"/>
        </w:rPr>
        <w:t>第一部分 资格证明文件</w:t>
      </w:r>
      <w:bookmarkEnd w:id="108"/>
    </w:p>
    <w:p>
      <w:pPr>
        <w:adjustRightInd w:val="0"/>
        <w:snapToGrid w:val="0"/>
        <w:spacing w:line="360" w:lineRule="auto"/>
        <w:rPr>
          <w:rFonts w:ascii="黑体" w:hAnsi="黑体" w:eastAsia="黑体"/>
          <w:b/>
          <w:color w:val="000000"/>
          <w:sz w:val="32"/>
          <w:szCs w:val="32"/>
        </w:rPr>
      </w:pPr>
    </w:p>
    <w:p>
      <w:pPr>
        <w:adjustRightInd w:val="0"/>
        <w:snapToGrid w:val="0"/>
        <w:spacing w:line="360" w:lineRule="auto"/>
        <w:rPr>
          <w:rFonts w:asciiTheme="minorEastAsia" w:hAnsiTheme="minorEastAsia" w:eastAsiaTheme="minorEastAsia"/>
          <w:b/>
          <w:color w:val="000000"/>
          <w:sz w:val="30"/>
          <w:szCs w:val="30"/>
        </w:rPr>
      </w:pPr>
      <w:r>
        <w:rPr>
          <w:rFonts w:hint="eastAsia" w:asciiTheme="minorEastAsia" w:hAnsiTheme="minorEastAsia" w:eastAsiaTheme="minorEastAsia"/>
          <w:b/>
          <w:color w:val="000000"/>
          <w:sz w:val="32"/>
          <w:szCs w:val="32"/>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pPr>
        <w:adjustRightInd w:val="0"/>
        <w:snapToGrid w:val="0"/>
        <w:spacing w:line="360" w:lineRule="auto"/>
        <w:rPr>
          <w:rFonts w:ascii="黑体" w:hAnsi="黑体" w:eastAsia="黑体"/>
          <w:color w:val="000000"/>
          <w:sz w:val="30"/>
          <w:szCs w:val="30"/>
        </w:rPr>
      </w:pPr>
    </w:p>
    <w:p>
      <w:pPr>
        <w:adjustRightInd w:val="0"/>
        <w:snapToGrid w:val="0"/>
        <w:rPr>
          <w:rFonts w:ascii="黑体" w:hAnsi="宋体" w:eastAsia="黑体"/>
          <w:color w:val="000000"/>
          <w:sz w:val="30"/>
          <w:szCs w:val="30"/>
        </w:rPr>
      </w:pPr>
    </w:p>
    <w:p>
      <w:pPr>
        <w:adjustRightInd w:val="0"/>
        <w:snapToGrid w:val="0"/>
        <w:spacing w:line="360" w:lineRule="auto"/>
        <w:rPr>
          <w:rFonts w:ascii="黑体" w:hAnsi="宋体" w:eastAsia="黑体"/>
          <w:color w:val="000000"/>
          <w:sz w:val="30"/>
          <w:szCs w:val="30"/>
        </w:rPr>
      </w:pPr>
    </w:p>
    <w:p>
      <w:pPr>
        <w:adjustRightInd w:val="0"/>
        <w:snapToGrid w:val="0"/>
        <w:spacing w:line="360" w:lineRule="auto"/>
        <w:rPr>
          <w:rFonts w:ascii="黑体" w:hAnsi="宋体" w:eastAsia="黑体"/>
          <w:color w:val="000000"/>
          <w:sz w:val="30"/>
          <w:szCs w:val="30"/>
        </w:rPr>
      </w:pPr>
    </w:p>
    <w:p>
      <w:pPr>
        <w:adjustRightInd w:val="0"/>
        <w:snapToGrid w:val="0"/>
        <w:spacing w:line="360" w:lineRule="auto"/>
        <w:rPr>
          <w:rFonts w:ascii="黑体" w:hAnsi="宋体" w:eastAsia="黑体"/>
          <w:color w:val="000000"/>
          <w:sz w:val="30"/>
          <w:szCs w:val="30"/>
        </w:rPr>
      </w:pPr>
    </w:p>
    <w:p>
      <w:pPr>
        <w:adjustRightInd w:val="0"/>
        <w:snapToGrid w:val="0"/>
        <w:spacing w:line="360" w:lineRule="auto"/>
        <w:ind w:firstLine="1984" w:firstLineChars="620"/>
        <w:rPr>
          <w:rFonts w:ascii="黑体" w:hAnsi="宋体" w:eastAsia="黑体"/>
          <w:color w:val="000000"/>
          <w:sz w:val="32"/>
          <w:szCs w:val="32"/>
          <w:u w:val="single"/>
        </w:rPr>
      </w:pPr>
      <w:r>
        <w:rPr>
          <w:rFonts w:hint="eastAsia" w:ascii="黑体" w:hAnsi="宋体" w:eastAsia="黑体"/>
          <w:color w:val="000000"/>
          <w:sz w:val="32"/>
          <w:szCs w:val="32"/>
        </w:rPr>
        <w:t>投标人</w:t>
      </w:r>
      <w:r>
        <w:rPr>
          <w:rFonts w:hint="eastAsia" w:ascii="黑体" w:hAnsi="宋体" w:eastAsia="黑体"/>
          <w:color w:val="000000"/>
          <w:sz w:val="32"/>
          <w:szCs w:val="32"/>
          <w:u w:val="single"/>
        </w:rPr>
        <w:t xml:space="preserve">                         </w:t>
      </w:r>
    </w:p>
    <w:p>
      <w:pPr>
        <w:adjustRightInd w:val="0"/>
        <w:snapToGrid w:val="0"/>
        <w:spacing w:line="360" w:lineRule="auto"/>
        <w:jc w:val="center"/>
        <w:rPr>
          <w:rFonts w:ascii="黑体" w:eastAsia="黑体"/>
          <w:sz w:val="28"/>
          <w:szCs w:val="28"/>
        </w:rPr>
      </w:pPr>
      <w:r>
        <w:rPr>
          <w:rFonts w:hint="eastAsia" w:ascii="黑体" w:hAnsi="宋体" w:eastAsia="黑体"/>
          <w:color w:val="000000"/>
          <w:sz w:val="32"/>
          <w:szCs w:val="32"/>
        </w:rPr>
        <w:t>年  月  日</w:t>
      </w:r>
      <w:r>
        <w:rPr>
          <w:rFonts w:ascii="黑体" w:eastAsia="黑体"/>
          <w:sz w:val="28"/>
          <w:szCs w:val="28"/>
        </w:rPr>
        <w:br w:type="page"/>
      </w:r>
    </w:p>
    <w:p>
      <w:pPr>
        <w:pStyle w:val="6"/>
        <w:adjustRightInd w:val="0"/>
        <w:snapToGrid w:val="0"/>
        <w:spacing w:before="156" w:beforeLines="50" w:after="0" w:line="360" w:lineRule="auto"/>
        <w:jc w:val="left"/>
        <w:rPr>
          <w:rFonts w:ascii="黑体" w:hAnsi="黑体"/>
          <w:b w:val="0"/>
          <w:sz w:val="21"/>
          <w:szCs w:val="21"/>
        </w:rPr>
      </w:pPr>
      <w:bookmarkStart w:id="109" w:name="_Toc20651242"/>
      <w:r>
        <w:rPr>
          <w:rFonts w:hint="eastAsia" w:ascii="黑体" w:hAnsi="黑体"/>
          <w:b w:val="0"/>
          <w:sz w:val="21"/>
          <w:szCs w:val="21"/>
        </w:rPr>
        <w:t>索引表1 资格审查索引表</w:t>
      </w:r>
      <w:bookmarkEnd w:id="109"/>
    </w:p>
    <w:p>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1871" w:type="dxa"/>
            <w:tcBorders>
              <w:righ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 w:val="20"/>
                <w:szCs w:val="21"/>
              </w:rPr>
              <w:t>招标文件条款号</w:t>
            </w:r>
          </w:p>
        </w:tc>
        <w:tc>
          <w:tcPr>
            <w:tcW w:w="2551" w:type="dxa"/>
            <w:tcBorders>
              <w:lef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资格审查标准</w:t>
            </w:r>
          </w:p>
        </w:tc>
        <w:tc>
          <w:tcPr>
            <w:tcW w:w="2127"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证明材料</w:t>
            </w:r>
          </w:p>
        </w:tc>
        <w:tc>
          <w:tcPr>
            <w:tcW w:w="1722" w:type="dxa"/>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投标文件对应内容的册及页码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551"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127"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bl>
    <w:p>
      <w:pPr>
        <w:pStyle w:val="5"/>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10" w:name="_Toc20651243"/>
      <w:r>
        <w:rPr>
          <w:rFonts w:hint="eastAsia" w:ascii="黑体" w:hAnsi="宋体" w:eastAsia="黑体"/>
          <w:sz w:val="28"/>
          <w:szCs w:val="28"/>
        </w:rPr>
        <w:t>一、开标一览表</w:t>
      </w:r>
      <w:bookmarkEnd w:id="110"/>
    </w:p>
    <w:p>
      <w:pPr>
        <w:adjustRightInd w:val="0"/>
        <w:snapToGrid w:val="0"/>
        <w:spacing w:line="360" w:lineRule="auto"/>
        <w:ind w:left="-88" w:leftChars="-42"/>
        <w:jc w:val="center"/>
        <w:rPr>
          <w:rFonts w:ascii="仿宋_GB2312" w:hAnsi="宋体" w:eastAsia="仿宋_GB2312"/>
          <w:color w:val="000000"/>
          <w:sz w:val="24"/>
        </w:rPr>
      </w:pPr>
    </w:p>
    <w:p>
      <w:pPr>
        <w:adjustRightInd w:val="0"/>
        <w:snapToGrid w:val="0"/>
        <w:spacing w:line="36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lang w:val="en-US" w:eastAsia="zh-CN"/>
        </w:rPr>
        <w:t xml:space="preserve">               </w:t>
      </w:r>
    </w:p>
    <w:p>
      <w:pPr>
        <w:adjustRightInd w:val="0"/>
        <w:snapToGrid w:val="0"/>
        <w:spacing w:line="360" w:lineRule="auto"/>
        <w:rPr>
          <w:rFonts w:hint="default" w:asciiTheme="minorEastAsia" w:hAnsiTheme="minorEastAsia" w:eastAsiaTheme="minorEastAsia"/>
          <w:szCs w:val="21"/>
          <w:u w:val="single"/>
          <w:lang w:val="en-US" w:eastAsia="zh-CN"/>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lang w:val="en-US" w:eastAsia="zh-CN"/>
        </w:rPr>
        <w:t xml:space="preserve">              </w:t>
      </w:r>
    </w:p>
    <w:p>
      <w:pPr>
        <w:pStyle w:val="4"/>
        <w:spacing w:line="360" w:lineRule="auto"/>
        <w:jc w:val="center"/>
        <w:rPr>
          <w:rFonts w:ascii="仿宋" w:hAnsi="仿宋" w:eastAsia="仿宋"/>
          <w:color w:val="000000"/>
          <w:szCs w:val="21"/>
          <w:u w:val="single"/>
        </w:rPr>
      </w:pPr>
      <w:r>
        <w:rPr>
          <w:rFonts w:hint="eastAsia" w:ascii="宋体" w:hAnsi="宋体" w:eastAsia="宋体" w:cs="宋体"/>
          <w:color w:val="000000"/>
          <w:sz w:val="28"/>
          <w:szCs w:val="28"/>
        </w:rPr>
        <w:t>开标一览表（品目一）</w:t>
      </w:r>
      <w:r>
        <w:rPr>
          <w:rFonts w:hint="eastAsia" w:ascii="宋体" w:hAnsi="宋体" w:eastAsia="宋体" w:cs="宋体"/>
          <w:color w:val="000000"/>
          <w:szCs w:val="21"/>
        </w:rPr>
        <w:t xml:space="preserve"> </w:t>
      </w:r>
      <w:r>
        <w:rPr>
          <w:rFonts w:ascii="仿宋" w:hAnsi="仿宋" w:eastAsia="仿宋"/>
          <w:color w:val="000000"/>
          <w:szCs w:val="21"/>
        </w:rPr>
        <w:t xml:space="preserve">                                                           </w:t>
      </w:r>
    </w:p>
    <w:tbl>
      <w:tblPr>
        <w:tblStyle w:val="42"/>
        <w:tblW w:w="9216" w:type="dxa"/>
        <w:jc w:val="center"/>
        <w:tblLayout w:type="fixed"/>
        <w:tblCellMar>
          <w:top w:w="0" w:type="dxa"/>
          <w:left w:w="108" w:type="dxa"/>
          <w:bottom w:w="0" w:type="dxa"/>
          <w:right w:w="108" w:type="dxa"/>
        </w:tblCellMar>
      </w:tblPr>
      <w:tblGrid>
        <w:gridCol w:w="761"/>
        <w:gridCol w:w="1934"/>
        <w:gridCol w:w="1276"/>
        <w:gridCol w:w="1224"/>
        <w:gridCol w:w="4021"/>
      </w:tblGrid>
      <w:tr>
        <w:tblPrEx>
          <w:tblCellMar>
            <w:top w:w="0" w:type="dxa"/>
            <w:left w:w="108" w:type="dxa"/>
            <w:bottom w:w="0" w:type="dxa"/>
            <w:right w:w="108" w:type="dxa"/>
          </w:tblCellMar>
        </w:tblPrEx>
        <w:trPr>
          <w:trHeight w:val="230" w:hRule="atLeast"/>
          <w:jc w:val="center"/>
        </w:trPr>
        <w:tc>
          <w:tcPr>
            <w:tcW w:w="7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类别</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品牌</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规格</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投标报价（优惠率</w:t>
            </w:r>
            <w:r>
              <w:rPr>
                <w:rFonts w:hint="eastAsia" w:ascii="宋体" w:hAnsi="宋体" w:eastAsia="宋体" w:cs="宋体"/>
                <w:b/>
                <w:bCs/>
                <w:color w:val="000000"/>
                <w:sz w:val="21"/>
                <w:szCs w:val="21"/>
              </w:rPr>
              <w:t>）</w:t>
            </w:r>
          </w:p>
        </w:tc>
        <w:tc>
          <w:tcPr>
            <w:tcW w:w="4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质量要求</w:t>
            </w:r>
          </w:p>
        </w:tc>
      </w:tr>
      <w:tr>
        <w:tblPrEx>
          <w:tblCellMar>
            <w:top w:w="0" w:type="dxa"/>
            <w:left w:w="108" w:type="dxa"/>
            <w:bottom w:w="0" w:type="dxa"/>
            <w:right w:w="108" w:type="dxa"/>
          </w:tblCellMar>
        </w:tblPrEx>
        <w:trPr>
          <w:trHeight w:val="275" w:hRule="atLeast"/>
          <w:jc w:val="center"/>
        </w:trPr>
        <w:tc>
          <w:tcPr>
            <w:tcW w:w="76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一级大米</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25公斤/袋</w:t>
            </w:r>
          </w:p>
        </w:tc>
        <w:tc>
          <w:tcPr>
            <w:tcW w:w="1224"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符合GB1354-2009标准。含水量等于低于规定标准：无杂质、杂米，黄粒米＜1%，含粹＜10%，水份＜15.5%，产品标P识规范，拥有“QS”食品安全认证、非转基因源料加工。</w:t>
            </w:r>
          </w:p>
        </w:tc>
      </w:tr>
      <w:tr>
        <w:tblPrEx>
          <w:tblCellMar>
            <w:top w:w="0" w:type="dxa"/>
            <w:left w:w="108" w:type="dxa"/>
            <w:bottom w:w="0" w:type="dxa"/>
            <w:right w:w="108" w:type="dxa"/>
          </w:tblCellMar>
        </w:tblPrEx>
        <w:trPr>
          <w:trHeight w:val="282" w:hRule="atLeast"/>
          <w:jc w:val="center"/>
        </w:trPr>
        <w:tc>
          <w:tcPr>
            <w:tcW w:w="761"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10公斤/袋</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276" w:hRule="atLeast"/>
          <w:jc w:val="center"/>
        </w:trPr>
        <w:tc>
          <w:tcPr>
            <w:tcW w:w="761"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10公斤/袋</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83" w:hRule="atLeast"/>
          <w:jc w:val="center"/>
        </w:trPr>
        <w:tc>
          <w:tcPr>
            <w:tcW w:w="76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面</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1公斤/包</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 19295-2011 食品安全国家标准、小麦粉国家质量标准（GB1355）。拥有“QS”食品安全认证、非转基因源料加工。</w:t>
            </w:r>
          </w:p>
        </w:tc>
      </w:tr>
      <w:tr>
        <w:tblPrEx>
          <w:tblCellMar>
            <w:top w:w="0" w:type="dxa"/>
            <w:left w:w="108" w:type="dxa"/>
            <w:bottom w:w="0" w:type="dxa"/>
            <w:right w:w="108" w:type="dxa"/>
          </w:tblCellMar>
        </w:tblPrEx>
        <w:trPr>
          <w:trHeight w:val="249" w:hRule="atLeast"/>
          <w:jc w:val="center"/>
        </w:trPr>
        <w:tc>
          <w:tcPr>
            <w:tcW w:w="761" w:type="dxa"/>
            <w:vMerge w:val="continue"/>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25公斤/件</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558" w:hRule="atLeast"/>
          <w:jc w:val="center"/>
        </w:trPr>
        <w:tc>
          <w:tcPr>
            <w:tcW w:w="76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食用油</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5L/桶</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15680标准和《食用植物油卫生标准》（GB2716-2005）国家对食品要求强制性规定。具有产品正常的色泽，澄清透明，气味口感较好，无焦臭、酸败及其他异味，密封良好，无沉淀，产品标识规范，拥有“QS”食品安全认证，非转基因源料加工。</w:t>
            </w:r>
          </w:p>
        </w:tc>
      </w:tr>
      <w:tr>
        <w:tblPrEx>
          <w:tblCellMar>
            <w:top w:w="0" w:type="dxa"/>
            <w:left w:w="108" w:type="dxa"/>
            <w:bottom w:w="0" w:type="dxa"/>
            <w:right w:w="108" w:type="dxa"/>
          </w:tblCellMar>
        </w:tblPrEx>
        <w:trPr>
          <w:trHeight w:val="419" w:hRule="atLeast"/>
          <w:jc w:val="center"/>
        </w:trPr>
        <w:tc>
          <w:tcPr>
            <w:tcW w:w="76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5L/桶</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19" w:hRule="atLeast"/>
          <w:jc w:val="center"/>
        </w:trPr>
        <w:tc>
          <w:tcPr>
            <w:tcW w:w="76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调味品</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加碘特制盐</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400g/包</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符合GB/T 20903-2007 调味品要求强制性规定。标识清晰、规范，密封良好，无异物，产品标识规范，拥有“QS”食品安全认证。</w:t>
            </w:r>
          </w:p>
        </w:tc>
      </w:tr>
      <w:tr>
        <w:tblPrEx>
          <w:tblCellMar>
            <w:top w:w="0" w:type="dxa"/>
            <w:left w:w="108" w:type="dxa"/>
            <w:bottom w:w="0" w:type="dxa"/>
            <w:right w:w="108" w:type="dxa"/>
          </w:tblCellMar>
        </w:tblPrEx>
        <w:trPr>
          <w:trHeight w:val="354" w:hRule="atLeast"/>
          <w:jc w:val="center"/>
        </w:trPr>
        <w:tc>
          <w:tcPr>
            <w:tcW w:w="761"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鸡精</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454g/包</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19" w:hRule="atLeast"/>
          <w:jc w:val="center"/>
        </w:trPr>
        <w:tc>
          <w:tcPr>
            <w:tcW w:w="76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酱油</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500ml/瓶</w:t>
            </w:r>
          </w:p>
        </w:tc>
        <w:tc>
          <w:tcPr>
            <w:tcW w:w="1224"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19" w:hRule="atLeast"/>
          <w:jc w:val="center"/>
        </w:trPr>
        <w:tc>
          <w:tcPr>
            <w:tcW w:w="26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干货、冻货类及其他预包装食品</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c>
          <w:tcPr>
            <w:tcW w:w="1224"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c>
          <w:tcPr>
            <w:tcW w:w="4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000000"/>
                <w:sz w:val="21"/>
                <w:szCs w:val="21"/>
              </w:rPr>
            </w:pPr>
          </w:p>
        </w:tc>
      </w:tr>
    </w:tbl>
    <w:p>
      <w:pPr>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p>
      <w:pPr>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kern w:val="32"/>
          <w:sz w:val="24"/>
          <w:szCs w:val="24"/>
        </w:rPr>
      </w:pPr>
      <w:r>
        <w:rPr>
          <w:rFonts w:hint="eastAsia" w:ascii="宋体" w:hAnsi="宋体" w:eastAsia="宋体" w:cs="宋体"/>
          <w:color w:val="000000"/>
          <w:sz w:val="24"/>
          <w:szCs w:val="24"/>
        </w:rPr>
        <w:t xml:space="preserve">                   </w:t>
      </w:r>
    </w:p>
    <w:p>
      <w:pPr>
        <w:pStyle w:val="4"/>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开标一览表（品目二）                                       </w:t>
      </w:r>
    </w:p>
    <w:tbl>
      <w:tblPr>
        <w:tblStyle w:val="42"/>
        <w:tblW w:w="9072" w:type="dxa"/>
        <w:tblInd w:w="108" w:type="dxa"/>
        <w:tblLayout w:type="fixed"/>
        <w:tblCellMar>
          <w:top w:w="0" w:type="dxa"/>
          <w:left w:w="108" w:type="dxa"/>
          <w:bottom w:w="0" w:type="dxa"/>
          <w:right w:w="108" w:type="dxa"/>
        </w:tblCellMar>
      </w:tblPr>
      <w:tblGrid>
        <w:gridCol w:w="993"/>
        <w:gridCol w:w="1842"/>
        <w:gridCol w:w="1276"/>
        <w:gridCol w:w="2126"/>
        <w:gridCol w:w="2835"/>
      </w:tblGrid>
      <w:tr>
        <w:tblPrEx>
          <w:tblCellMar>
            <w:top w:w="0" w:type="dxa"/>
            <w:left w:w="108" w:type="dxa"/>
            <w:bottom w:w="0" w:type="dxa"/>
            <w:right w:w="108" w:type="dxa"/>
          </w:tblCellMar>
        </w:tblPrEx>
        <w:trPr>
          <w:trHeight w:val="624"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类别</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推荐品牌</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规格</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投标报价（优惠率</w:t>
            </w:r>
            <w:r>
              <w:rPr>
                <w:rFonts w:hint="eastAsia" w:ascii="宋体" w:hAnsi="宋体" w:eastAsia="宋体" w:cs="宋体"/>
                <w:color w:val="000000"/>
                <w:sz w:val="24"/>
                <w:szCs w:val="24"/>
              </w:rPr>
              <w:t>）</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tblPrEx>
          <w:tblCellMar>
            <w:top w:w="0" w:type="dxa"/>
            <w:left w:w="108" w:type="dxa"/>
            <w:bottom w:w="0" w:type="dxa"/>
            <w:right w:w="108" w:type="dxa"/>
          </w:tblCellMar>
        </w:tblPrEx>
        <w:trPr>
          <w:trHeight w:val="127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果蔬类</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苹果、梨子、香蕉、西瓜、新鲜红辣椒、黄瓜</w:t>
            </w:r>
          </w:p>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大白菜等</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公斤</w:t>
            </w:r>
          </w:p>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残余农药检验报告合格，外表清洁新鲜、饱满无腐烂、无异味、包装完好。</w:t>
            </w:r>
          </w:p>
        </w:tc>
      </w:tr>
    </w:tbl>
    <w:p>
      <w:pPr>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p>
    <w:p>
      <w:pPr>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p>
    <w:p>
      <w:pPr>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p>
    <w:p>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color w:val="000000"/>
          <w:kern w:val="32"/>
          <w:sz w:val="24"/>
          <w:szCs w:val="24"/>
        </w:rPr>
      </w:pPr>
      <w:r>
        <w:rPr>
          <w:rFonts w:hint="eastAsia" w:ascii="宋体" w:hAnsi="宋体" w:eastAsia="宋体" w:cs="宋体"/>
          <w:color w:val="000000"/>
          <w:sz w:val="24"/>
          <w:szCs w:val="24"/>
        </w:rPr>
        <w:t xml:space="preserve">                           </w:t>
      </w:r>
      <w:r>
        <w:rPr>
          <w:rFonts w:hint="eastAsia" w:ascii="宋体" w:hAnsi="宋体" w:eastAsia="宋体" w:cs="宋体"/>
          <w:b/>
          <w:color w:val="000000"/>
          <w:sz w:val="24"/>
          <w:szCs w:val="24"/>
        </w:rPr>
        <w:t xml:space="preserve">开标一览表（品目三）                                                           </w:t>
      </w:r>
    </w:p>
    <w:tbl>
      <w:tblPr>
        <w:tblStyle w:val="42"/>
        <w:tblW w:w="9072" w:type="dxa"/>
        <w:tblInd w:w="108" w:type="dxa"/>
        <w:tblLayout w:type="fixed"/>
        <w:tblCellMar>
          <w:top w:w="0" w:type="dxa"/>
          <w:left w:w="108" w:type="dxa"/>
          <w:bottom w:w="0" w:type="dxa"/>
          <w:right w:w="108" w:type="dxa"/>
        </w:tblCellMar>
      </w:tblPr>
      <w:tblGrid>
        <w:gridCol w:w="1418"/>
        <w:gridCol w:w="1417"/>
        <w:gridCol w:w="891"/>
        <w:gridCol w:w="1537"/>
        <w:gridCol w:w="3809"/>
      </w:tblGrid>
      <w:tr>
        <w:trPr>
          <w:trHeight w:val="366"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类别</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推荐品牌</w:t>
            </w:r>
          </w:p>
        </w:tc>
        <w:tc>
          <w:tcPr>
            <w:tcW w:w="8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规格</w:t>
            </w:r>
          </w:p>
        </w:tc>
        <w:tc>
          <w:tcPr>
            <w:tcW w:w="15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投标报价（优惠率</w:t>
            </w:r>
            <w:r>
              <w:rPr>
                <w:rFonts w:hint="eastAsia" w:ascii="宋体" w:hAnsi="宋体" w:eastAsia="宋体" w:cs="宋体"/>
                <w:color w:val="000000"/>
                <w:sz w:val="21"/>
                <w:szCs w:val="21"/>
              </w:rPr>
              <w:t>）</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tblPrEx>
          <w:tblCellMar>
            <w:top w:w="0" w:type="dxa"/>
            <w:left w:w="108" w:type="dxa"/>
            <w:bottom w:w="0" w:type="dxa"/>
            <w:right w:w="108" w:type="dxa"/>
          </w:tblCellMar>
        </w:tblPrEx>
        <w:trPr>
          <w:trHeight w:val="2142"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家禽水（海）产类</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三黄鸡、 麻鸭、草鱼、雄鱼、基围虾等鲜活海产品</w:t>
            </w:r>
          </w:p>
        </w:tc>
        <w:tc>
          <w:tcPr>
            <w:tcW w:w="8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c>
          <w:tcPr>
            <w:tcW w:w="15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1、家禽符合GB16869-200标准要求强制性规定。鲜活、无病态；无异味、无注水。</w:t>
            </w:r>
            <w:r>
              <w:rPr>
                <w:rFonts w:hint="eastAsia" w:ascii="宋体" w:hAnsi="宋体" w:eastAsia="宋体" w:cs="宋体"/>
                <w:color w:val="000000"/>
                <w:kern w:val="0"/>
                <w:sz w:val="21"/>
                <w:szCs w:val="21"/>
              </w:rPr>
              <w:t>必须具有动物检验检疫证明。</w:t>
            </w:r>
            <w:r>
              <w:rPr>
                <w:rFonts w:hint="eastAsia" w:ascii="宋体" w:hAnsi="宋体" w:eastAsia="宋体" w:cs="宋体"/>
                <w:color w:val="000000"/>
                <w:sz w:val="21"/>
                <w:szCs w:val="21"/>
              </w:rPr>
              <w:t>（家禽经验收合格后，按当地市场价格*优惠率结算。）</w:t>
            </w:r>
          </w:p>
          <w:p>
            <w:pPr>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2、水产</w:t>
            </w:r>
            <w:r>
              <w:rPr>
                <w:rFonts w:hint="eastAsia" w:ascii="宋体" w:hAnsi="宋体" w:eastAsia="宋体" w:cs="宋体"/>
                <w:color w:val="000000"/>
                <w:sz w:val="21"/>
                <w:szCs w:val="21"/>
              </w:rPr>
              <w:t>眼球饱满凸出，角膜光亮透明。鳃盖紧闭，鳃丝鲜红清晰，粘液润滑透明，无异味。指压被侧肌肉，肌肉紧实富有弹性，不留指痕。鳞片有光泽，纹理清晰，紧贴鱼体，不易剥落。</w:t>
            </w:r>
          </w:p>
        </w:tc>
      </w:tr>
    </w:tbl>
    <w:p>
      <w:pPr>
        <w:rPr>
          <w:rFonts w:hint="eastAsia"/>
          <w:lang w:eastAsia="zh-CN"/>
        </w:rPr>
      </w:pPr>
    </w:p>
    <w:p>
      <w:pPr>
        <w:pStyle w:val="4"/>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bCs w:val="0"/>
          <w:color w:val="000000"/>
          <w:kern w:val="2"/>
          <w:sz w:val="24"/>
          <w:szCs w:val="24"/>
        </w:rPr>
        <w:t>开标一览表（品目四）</w:t>
      </w:r>
    </w:p>
    <w:tbl>
      <w:tblPr>
        <w:tblStyle w:val="42"/>
        <w:tblW w:w="9072" w:type="dxa"/>
        <w:tblInd w:w="108" w:type="dxa"/>
        <w:tblLayout w:type="fixed"/>
        <w:tblCellMar>
          <w:top w:w="0" w:type="dxa"/>
          <w:left w:w="108" w:type="dxa"/>
          <w:bottom w:w="0" w:type="dxa"/>
          <w:right w:w="108" w:type="dxa"/>
        </w:tblCellMar>
      </w:tblPr>
      <w:tblGrid>
        <w:gridCol w:w="761"/>
        <w:gridCol w:w="2074"/>
        <w:gridCol w:w="1276"/>
        <w:gridCol w:w="1559"/>
        <w:gridCol w:w="3402"/>
      </w:tblGrid>
      <w:tr>
        <w:tblPrEx>
          <w:tblCellMar>
            <w:top w:w="0" w:type="dxa"/>
            <w:left w:w="108" w:type="dxa"/>
            <w:bottom w:w="0" w:type="dxa"/>
            <w:right w:w="108" w:type="dxa"/>
          </w:tblCellMar>
        </w:tblPrEx>
        <w:trPr>
          <w:trHeight w:val="329" w:hRule="atLeast"/>
        </w:trPr>
        <w:tc>
          <w:tcPr>
            <w:tcW w:w="7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类别</w:t>
            </w:r>
          </w:p>
        </w:tc>
        <w:tc>
          <w:tcPr>
            <w:tcW w:w="20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推荐品牌</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规格</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投标报价（优惠率</w:t>
            </w:r>
            <w:r>
              <w:rPr>
                <w:rFonts w:hint="eastAsia" w:ascii="宋体" w:hAnsi="宋体" w:eastAsia="宋体" w:cs="宋体"/>
                <w:color w:val="000000"/>
                <w:sz w:val="21"/>
                <w:szCs w:val="21"/>
              </w:rPr>
              <w:t>）</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tblPrEx>
          <w:tblCellMar>
            <w:top w:w="0" w:type="dxa"/>
            <w:left w:w="108" w:type="dxa"/>
            <w:bottom w:w="0" w:type="dxa"/>
            <w:right w:w="108" w:type="dxa"/>
          </w:tblCellMar>
        </w:tblPrEx>
        <w:trPr>
          <w:trHeight w:val="625" w:hRule="atLeast"/>
        </w:trPr>
        <w:tc>
          <w:tcPr>
            <w:tcW w:w="7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家畜</w:t>
            </w:r>
          </w:p>
        </w:tc>
        <w:tc>
          <w:tcPr>
            <w:tcW w:w="20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鲜猪肉、鲜排骨、鲜羊肉、鲜牛肉等</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公斤</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00"/>
                <w:sz w:val="21"/>
                <w:szCs w:val="21"/>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符合GB2707-2005标准要求强制性规定。色泽正常，无异味、无注水。提供产品时</w:t>
            </w:r>
            <w:r>
              <w:rPr>
                <w:rFonts w:hint="eastAsia" w:ascii="宋体" w:hAnsi="宋体" w:eastAsia="宋体" w:cs="宋体"/>
                <w:color w:val="000000"/>
                <w:kern w:val="0"/>
                <w:sz w:val="21"/>
                <w:szCs w:val="21"/>
              </w:rPr>
              <w:t>必须具有动物检验检疫证明。</w:t>
            </w:r>
          </w:p>
        </w:tc>
      </w:tr>
    </w:tbl>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sz w:val="21"/>
          <w:szCs w:val="21"/>
        </w:rPr>
      </w:pPr>
      <w:r>
        <w:rPr>
          <w:rFonts w:hint="eastAsia" w:asciiTheme="minorEastAsia" w:hAnsiTheme="minorEastAsia" w:eastAsiaTheme="minorEastAsia"/>
          <w:b/>
          <w:szCs w:val="21"/>
        </w:rPr>
        <w:t>备注：</w:t>
      </w:r>
      <w:r>
        <w:rPr>
          <w:rFonts w:hint="eastAsia" w:asciiTheme="minorEastAsia" w:hAnsiTheme="minorEastAsia" w:eastAsiaTheme="minorEastAsia"/>
          <w:sz w:val="21"/>
          <w:szCs w:val="21"/>
        </w:rPr>
        <w:t>（</w:t>
      </w:r>
      <w:r>
        <w:rPr>
          <w:rFonts w:hint="eastAsia" w:asciiTheme="minorEastAsia" w:hAnsiTheme="minorEastAsia" w:eastAsiaTheme="minorEastAsia"/>
          <w:sz w:val="21"/>
          <w:szCs w:val="21"/>
          <w:lang w:val="en-US" w:eastAsia="zh-CN"/>
        </w:rPr>
        <w:t>1</w:t>
      </w:r>
      <w:r>
        <w:rPr>
          <w:rFonts w:hint="eastAsia" w:asciiTheme="minorEastAsia" w:hAnsiTheme="minorEastAsia" w:eastAsiaTheme="minorEastAsia"/>
          <w:sz w:val="21"/>
          <w:szCs w:val="21"/>
        </w:rPr>
        <w:t>）投标人提交两份及以上投标报价不同的“开标一览表”，且未书面说明哪个有效或以哪个为准的，其</w:t>
      </w:r>
      <w:r>
        <w:rPr>
          <w:rFonts w:hint="eastAsia" w:asciiTheme="minorEastAsia" w:hAnsiTheme="minorEastAsia" w:eastAsiaTheme="minorEastAsia"/>
          <w:b/>
          <w:sz w:val="21"/>
          <w:szCs w:val="21"/>
        </w:rPr>
        <w:t>投标无效</w:t>
      </w:r>
      <w:r>
        <w:rPr>
          <w:rFonts w:hint="eastAsia" w:asciiTheme="minorEastAsia" w:hAnsiTheme="minorEastAsia" w:eastAsiaTheme="minorEastAsia"/>
          <w:sz w:val="21"/>
          <w:szCs w:val="21"/>
        </w:rPr>
        <w:t>。</w:t>
      </w:r>
    </w:p>
    <w:p>
      <w:pPr>
        <w:keepNext w:val="0"/>
        <w:keepLines w:val="0"/>
        <w:pageBreakBefore w:val="0"/>
        <w:widowControl w:val="0"/>
        <w:numPr>
          <w:ilvl w:val="0"/>
          <w:numId w:val="3"/>
        </w:numPr>
        <w:kinsoku/>
        <w:wordWrap/>
        <w:overflowPunct/>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投标人在投标截止时间前修改“开标一览表”中的投标报价的，应同时修改投标文件“分项报价明细表”“享受政府采购政策优惠的证明资料”以及“联合体协议书”（如果影响）等相关内容。</w:t>
      </w:r>
    </w:p>
    <w:p>
      <w:pPr>
        <w:pStyle w:val="2"/>
        <w:keepNext w:val="0"/>
        <w:keepLines w:val="0"/>
        <w:pageBreakBefore w:val="0"/>
        <w:widowControl w:val="0"/>
        <w:numPr>
          <w:ilvl w:val="0"/>
          <w:numId w:val="3"/>
        </w:numPr>
        <w:kinsoku/>
        <w:wordWrap/>
        <w:overflowPunct/>
        <w:topLinePunct w:val="0"/>
        <w:bidi w:val="0"/>
        <w:adjustRightInd w:val="0"/>
        <w:snapToGrid w:val="0"/>
        <w:spacing w:line="360" w:lineRule="auto"/>
        <w:textAlignment w:val="auto"/>
        <w:rPr>
          <w:sz w:val="21"/>
          <w:szCs w:val="21"/>
        </w:rPr>
      </w:pPr>
      <w:r>
        <w:rPr>
          <w:rFonts w:hint="eastAsia"/>
          <w:sz w:val="21"/>
          <w:szCs w:val="21"/>
        </w:rPr>
        <w:t>投标人应按本文件提出的招标范围、内容及要求进行报价，报价包含所有费用。本次报价只报每个品类的总优惠率，不需报单项优惠率。</w:t>
      </w:r>
    </w:p>
    <w:p>
      <w:pPr>
        <w:pStyle w:val="2"/>
        <w:keepNext w:val="0"/>
        <w:keepLines w:val="0"/>
        <w:pageBreakBefore w:val="0"/>
        <w:widowControl w:val="0"/>
        <w:numPr>
          <w:ilvl w:val="0"/>
          <w:numId w:val="3"/>
        </w:numPr>
        <w:kinsoku/>
        <w:wordWrap/>
        <w:overflowPunct/>
        <w:topLinePunct w:val="0"/>
        <w:bidi w:val="0"/>
        <w:adjustRightInd w:val="0"/>
        <w:snapToGrid w:val="0"/>
        <w:spacing w:line="360" w:lineRule="auto"/>
        <w:textAlignment w:val="auto"/>
        <w:rPr>
          <w:sz w:val="21"/>
          <w:szCs w:val="21"/>
        </w:rPr>
      </w:pPr>
      <w:r>
        <w:rPr>
          <w:rFonts w:hint="eastAsia"/>
          <w:sz w:val="21"/>
          <w:szCs w:val="21"/>
        </w:rPr>
        <w:t>合同期内供方应维持中标优惠率不变，货款结算公式</w:t>
      </w:r>
      <w:r>
        <w:rPr>
          <w:sz w:val="21"/>
          <w:szCs w:val="21"/>
        </w:rPr>
        <w:t>:</w:t>
      </w:r>
      <w:r>
        <w:rPr>
          <w:rFonts w:hint="eastAsia"/>
          <w:sz w:val="21"/>
          <w:szCs w:val="21"/>
        </w:rPr>
        <w:t>采购数量</w:t>
      </w:r>
      <w:r>
        <w:rPr>
          <w:sz w:val="21"/>
          <w:szCs w:val="21"/>
        </w:rPr>
        <w:t>*</w:t>
      </w:r>
      <w:r>
        <w:rPr>
          <w:rFonts w:hint="eastAsia"/>
          <w:sz w:val="21"/>
          <w:szCs w:val="21"/>
        </w:rPr>
        <w:t>市场</w:t>
      </w:r>
      <w:r>
        <w:rPr>
          <w:rFonts w:hint="eastAsia"/>
          <w:sz w:val="21"/>
          <w:szCs w:val="21"/>
          <w:lang w:val="en-US" w:eastAsia="zh-CN"/>
        </w:rPr>
        <w:t>挂牌价</w:t>
      </w:r>
      <w:r>
        <w:rPr>
          <w:sz w:val="21"/>
          <w:szCs w:val="21"/>
        </w:rPr>
        <w:t>*</w:t>
      </w:r>
      <w:r>
        <w:rPr>
          <w:rFonts w:hint="eastAsia"/>
          <w:sz w:val="21"/>
          <w:szCs w:val="21"/>
        </w:rPr>
        <w:t>（</w:t>
      </w:r>
      <w:r>
        <w:rPr>
          <w:sz w:val="21"/>
          <w:szCs w:val="21"/>
        </w:rPr>
        <w:t>100%-</w:t>
      </w:r>
      <w:r>
        <w:rPr>
          <w:rFonts w:hint="eastAsia"/>
          <w:sz w:val="21"/>
          <w:szCs w:val="21"/>
        </w:rPr>
        <w:t>中选优惠率）</w:t>
      </w:r>
      <w:r>
        <w:rPr>
          <w:sz w:val="21"/>
          <w:szCs w:val="21"/>
        </w:rPr>
        <w:t>=</w:t>
      </w:r>
      <w:r>
        <w:rPr>
          <w:rFonts w:hint="eastAsia"/>
          <w:sz w:val="21"/>
          <w:szCs w:val="21"/>
        </w:rPr>
        <w:t>货款。品类一采购价的确定从签定合同之日起每一月为一个周期确定一次。品类二、三、四每周确定一次，即每次由甲方在</w:t>
      </w:r>
      <w:r>
        <w:rPr>
          <w:rFonts w:hint="eastAsia"/>
          <w:sz w:val="21"/>
          <w:szCs w:val="21"/>
          <w:lang w:val="en-US" w:eastAsia="zh-CN"/>
        </w:rPr>
        <w:t>零陵</w:t>
      </w:r>
      <w:r>
        <w:rPr>
          <w:rFonts w:hint="eastAsia"/>
          <w:sz w:val="21"/>
          <w:szCs w:val="21"/>
        </w:rPr>
        <w:t>区</w:t>
      </w:r>
      <w:r>
        <w:rPr>
          <w:rFonts w:hint="eastAsia"/>
          <w:sz w:val="21"/>
          <w:szCs w:val="21"/>
          <w:lang w:val="en-US" w:eastAsia="zh-CN"/>
        </w:rPr>
        <w:t>选择步步高、卜蜂莲花、建都超市</w:t>
      </w:r>
      <w:r>
        <w:rPr>
          <w:rFonts w:hint="eastAsia"/>
          <w:sz w:val="21"/>
          <w:szCs w:val="21"/>
        </w:rPr>
        <w:t>相同产品、品牌、型号、规格、厂家的当日价格的平均值为本周期的市场</w:t>
      </w:r>
      <w:r>
        <w:rPr>
          <w:rFonts w:hint="eastAsia"/>
          <w:sz w:val="21"/>
          <w:szCs w:val="21"/>
          <w:lang w:val="en-US" w:eastAsia="zh-CN"/>
        </w:rPr>
        <w:t>挂牌价</w:t>
      </w:r>
      <w:r>
        <w:rPr>
          <w:rFonts w:hint="eastAsia"/>
          <w:sz w:val="21"/>
          <w:szCs w:val="21"/>
        </w:rPr>
        <w:t>基数，再</w:t>
      </w:r>
      <w:r>
        <w:rPr>
          <w:sz w:val="21"/>
          <w:szCs w:val="21"/>
        </w:rPr>
        <w:t>*</w:t>
      </w:r>
      <w:r>
        <w:rPr>
          <w:rFonts w:hint="eastAsia"/>
          <w:sz w:val="21"/>
          <w:szCs w:val="21"/>
        </w:rPr>
        <w:t>（</w:t>
      </w:r>
      <w:r>
        <w:rPr>
          <w:sz w:val="21"/>
          <w:szCs w:val="21"/>
        </w:rPr>
        <w:t>100%-</w:t>
      </w:r>
      <w:r>
        <w:rPr>
          <w:rFonts w:hint="eastAsia"/>
          <w:sz w:val="21"/>
          <w:szCs w:val="21"/>
        </w:rPr>
        <w:t>中标优惠率）为该品类的采购价以此类推。</w:t>
      </w:r>
    </w:p>
    <w:p>
      <w:pPr>
        <w:pStyle w:val="2"/>
        <w:keepNext w:val="0"/>
        <w:keepLines w:val="0"/>
        <w:pageBreakBefore w:val="0"/>
        <w:widowControl w:val="0"/>
        <w:numPr>
          <w:ilvl w:val="0"/>
          <w:numId w:val="3"/>
        </w:numPr>
        <w:kinsoku/>
        <w:wordWrap/>
        <w:overflowPunct/>
        <w:topLinePunct w:val="0"/>
        <w:bidi w:val="0"/>
        <w:adjustRightInd w:val="0"/>
        <w:snapToGrid w:val="0"/>
        <w:spacing w:line="360" w:lineRule="auto"/>
        <w:textAlignment w:val="auto"/>
        <w:rPr>
          <w:rFonts w:hint="default" w:cs="Times New Roman"/>
          <w:sz w:val="21"/>
          <w:szCs w:val="21"/>
          <w:lang w:val="en-US" w:eastAsia="zh-CN"/>
        </w:rPr>
      </w:pPr>
      <w:r>
        <w:rPr>
          <w:rFonts w:hint="default" w:cs="Times New Roman"/>
          <w:sz w:val="21"/>
          <w:szCs w:val="21"/>
          <w:lang w:val="en-US" w:eastAsia="zh-CN"/>
        </w:rPr>
        <w:t>中标优惠率以市场价格（零陵区步步高、卜蜂莲花、建都超市</w:t>
      </w:r>
      <w:r>
        <w:rPr>
          <w:rFonts w:hint="eastAsia" w:cs="Times New Roman"/>
          <w:sz w:val="21"/>
          <w:szCs w:val="21"/>
          <w:lang w:val="en-US" w:eastAsia="zh-CN"/>
        </w:rPr>
        <w:t>挂牌</w:t>
      </w:r>
      <w:r>
        <w:rPr>
          <w:rFonts w:hint="default" w:cs="Times New Roman"/>
          <w:sz w:val="21"/>
          <w:szCs w:val="21"/>
          <w:lang w:val="en-US" w:eastAsia="zh-CN"/>
        </w:rPr>
        <w:t>价的平均价）为基准，进行优惠。</w:t>
      </w:r>
    </w:p>
    <w:p>
      <w:pPr>
        <w:pageBreakBefore w:val="0"/>
        <w:kinsoku/>
        <w:wordWrap/>
        <w:overflowPunct/>
        <w:topLinePunct w:val="0"/>
        <w:bidi w:val="0"/>
        <w:adjustRightInd w:val="0"/>
        <w:snapToGrid w:val="0"/>
        <w:spacing w:line="360" w:lineRule="auto"/>
        <w:ind w:firstLine="420" w:firstLineChars="200"/>
        <w:textAlignment w:val="auto"/>
        <w:rPr>
          <w:rFonts w:asciiTheme="minorEastAsia" w:hAnsiTheme="minorEastAsia" w:eastAsiaTheme="minorEastAsia"/>
          <w:szCs w:val="21"/>
        </w:rPr>
      </w:pPr>
    </w:p>
    <w:p>
      <w:pPr>
        <w:adjustRightInd w:val="0"/>
        <w:snapToGrid w:val="0"/>
        <w:spacing w:line="360" w:lineRule="auto"/>
        <w:rPr>
          <w:rFonts w:asciiTheme="minorEastAsia" w:hAnsiTheme="minorEastAsia" w:eastAsiaTheme="minorEastAsia"/>
          <w:color w:val="FF0000"/>
          <w:szCs w:val="21"/>
        </w:rPr>
      </w:pP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投标人名称（盖单位章）：</w:t>
      </w:r>
    </w:p>
    <w:p>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或其授权的代理人（签字或印章）：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_</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pPr>
        <w:pStyle w:val="5"/>
        <w:adjustRightInd w:val="0"/>
        <w:snapToGrid w:val="0"/>
        <w:spacing w:before="0" w:after="0" w:line="360" w:lineRule="auto"/>
        <w:jc w:val="center"/>
        <w:rPr>
          <w:rFonts w:ascii="黑体" w:hAnsi="宋体" w:eastAsia="黑体"/>
          <w:sz w:val="28"/>
          <w:szCs w:val="28"/>
        </w:rPr>
      </w:pPr>
      <w:bookmarkStart w:id="111" w:name="_Toc20651244"/>
      <w:r>
        <w:rPr>
          <w:rFonts w:hint="eastAsia" w:ascii="黑体" w:hAnsi="宋体" w:eastAsia="黑体"/>
          <w:sz w:val="28"/>
          <w:szCs w:val="28"/>
        </w:rPr>
        <w:t>二、投标保证金</w:t>
      </w:r>
      <w:bookmarkEnd w:id="111"/>
    </w:p>
    <w:p>
      <w:pPr>
        <w:adjustRightInd w:val="0"/>
        <w:snapToGrid w:val="0"/>
        <w:spacing w:before="156" w:beforeLines="50" w:line="360" w:lineRule="auto"/>
        <w:ind w:firstLine="420" w:firstLineChars="200"/>
        <w:jc w:val="left"/>
        <w:rPr>
          <w:rFonts w:asciiTheme="minorEastAsia" w:hAnsiTheme="minorEastAsia" w:eastAsiaTheme="minorEastAsia"/>
          <w:szCs w:val="21"/>
        </w:rPr>
      </w:pPr>
    </w:p>
    <w:p>
      <w:pPr>
        <w:adjustRightInd w:val="0"/>
        <w:snapToGrid w:val="0"/>
        <w:spacing w:before="156" w:beforeLines="50" w:line="360" w:lineRule="auto"/>
        <w:ind w:firstLine="422" w:firstLineChars="200"/>
        <w:jc w:val="left"/>
        <w:rPr>
          <w:rFonts w:asciiTheme="minorEastAsia" w:hAnsiTheme="minorEastAsia" w:eastAsiaTheme="minorEastAsia"/>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：提供：付款凭证复印件，或金融机构、担保机构出具的保函原件。</w:t>
      </w:r>
    </w:p>
    <w:p>
      <w:pPr>
        <w:adjustRightInd w:val="0"/>
        <w:snapToGrid w:val="0"/>
        <w:spacing w:before="156" w:beforeLines="50" w:line="360" w:lineRule="auto"/>
        <w:ind w:firstLine="420" w:firstLineChars="200"/>
        <w:jc w:val="left"/>
        <w:rPr>
          <w:rFonts w:asciiTheme="minorEastAsia" w:hAnsiTheme="minorEastAsia" w:eastAsiaTheme="minorEastAsia"/>
        </w:rPr>
      </w:pPr>
    </w:p>
    <w:p>
      <w:pPr>
        <w:pStyle w:val="6"/>
        <w:rPr>
          <w:rFonts w:ascii="黑体" w:hAnsi="黑体"/>
          <w:b w:val="0"/>
          <w:sz w:val="21"/>
          <w:szCs w:val="21"/>
        </w:rPr>
      </w:pPr>
      <w:bookmarkStart w:id="112" w:name="_Toc20651245"/>
      <w:r>
        <w:rPr>
          <w:rFonts w:hint="eastAsia" w:ascii="黑体" w:hAnsi="黑体"/>
          <w:b w:val="0"/>
          <w:sz w:val="21"/>
          <w:szCs w:val="21"/>
        </w:rPr>
        <w:t>附件2-1投标保函（格式）</w:t>
      </w:r>
      <w:bookmarkEnd w:id="112"/>
    </w:p>
    <w:p>
      <w:pPr>
        <w:adjustRightInd w:val="0"/>
        <w:snapToGrid w:val="0"/>
        <w:spacing w:line="360" w:lineRule="auto"/>
        <w:jc w:val="center"/>
        <w:rPr>
          <w:rFonts w:ascii="黑体" w:hAnsi="黑体" w:eastAsia="黑体"/>
          <w:b/>
          <w:sz w:val="28"/>
          <w:szCs w:val="28"/>
          <w:u w:val="single"/>
        </w:rPr>
      </w:pPr>
      <w:r>
        <w:rPr>
          <w:rFonts w:hint="eastAsia" w:ascii="黑体" w:hAnsi="黑体" w:eastAsia="黑体"/>
          <w:b/>
          <w:sz w:val="28"/>
          <w:szCs w:val="28"/>
        </w:rPr>
        <w:t>投标保函（格式）</w:t>
      </w:r>
    </w:p>
    <w:p>
      <w:pPr>
        <w:adjustRightInd w:val="0"/>
        <w:snapToGrid w:val="0"/>
        <w:spacing w:line="360" w:lineRule="auto"/>
        <w:jc w:val="center"/>
        <w:rPr>
          <w:rFonts w:asciiTheme="minorEastAsia" w:hAnsiTheme="minorEastAsia" w:eastAsiaTheme="minorEastAsia"/>
          <w:u w:val="single"/>
        </w:rPr>
      </w:pPr>
      <w:r>
        <w:rPr>
          <w:rFonts w:hint="eastAsia" w:asciiTheme="minorEastAsia" w:hAnsiTheme="minorEastAsia" w:eastAsiaTheme="minorEastAsia"/>
        </w:rPr>
        <w:t>（金融机构、担保机构保函）</w:t>
      </w:r>
    </w:p>
    <w:p>
      <w:pPr>
        <w:adjustRightInd w:val="0"/>
        <w:snapToGrid w:val="0"/>
        <w:spacing w:before="156" w:beforeLines="50" w:line="360" w:lineRule="auto"/>
        <w:jc w:val="left"/>
        <w:rPr>
          <w:rFonts w:asciiTheme="minorEastAsia" w:hAnsiTheme="minorEastAsia" w:eastAsiaTheme="minorEastAsia"/>
          <w:u w:val="single"/>
        </w:rPr>
      </w:pPr>
    </w:p>
    <w:p>
      <w:pPr>
        <w:adjustRightInd w:val="0"/>
        <w:snapToGrid w:val="0"/>
        <w:spacing w:before="156" w:beforeLines="50" w:line="360" w:lineRule="auto"/>
        <w:jc w:val="left"/>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（采购人名称）：</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鉴于</w:t>
      </w:r>
      <w:r>
        <w:rPr>
          <w:rFonts w:hint="eastAsia" w:asciiTheme="minorEastAsia" w:hAnsiTheme="minorEastAsia" w:eastAsiaTheme="minorEastAsia"/>
          <w:u w:val="single"/>
        </w:rPr>
        <w:t xml:space="preserve">        </w:t>
      </w:r>
      <w:r>
        <w:rPr>
          <w:rFonts w:hint="eastAsia" w:asciiTheme="minorEastAsia" w:hAnsiTheme="minorEastAsia" w:eastAsiaTheme="minorEastAsia"/>
        </w:rPr>
        <w:t>（投标人名称）（以下称“投标人”）于</w:t>
      </w:r>
      <w:r>
        <w:rPr>
          <w:rFonts w:hint="eastAsia" w:asciiTheme="minorEastAsia" w:hAnsiTheme="minorEastAsia" w:eastAsiaTheme="minorEastAsia"/>
          <w:u w:val="single"/>
        </w:rPr>
        <w:t xml:space="preserve">     </w:t>
      </w:r>
      <w:r>
        <w:rPr>
          <w:rFonts w:hint="eastAsia" w:asciiTheme="minorEastAsia" w:hAnsiTheme="minorEastAsia" w:eastAsiaTheme="minorEastAsia"/>
        </w:rPr>
        <w:t>年</w:t>
      </w:r>
      <w:r>
        <w:rPr>
          <w:rFonts w:hint="eastAsia" w:asciiTheme="minorEastAsia" w:hAnsiTheme="minorEastAsia" w:eastAsiaTheme="minorEastAsia"/>
          <w:u w:val="single"/>
        </w:rPr>
        <w:t xml:space="preserve">  </w:t>
      </w:r>
      <w:r>
        <w:rPr>
          <w:rFonts w:hint="eastAsia" w:asciiTheme="minorEastAsia" w:hAnsiTheme="minorEastAsia" w:eastAsiaTheme="minorEastAsia"/>
        </w:rPr>
        <w:t>月</w:t>
      </w:r>
      <w:r>
        <w:rPr>
          <w:rFonts w:hint="eastAsia" w:asciiTheme="minorEastAsia" w:hAnsiTheme="minorEastAsia" w:eastAsiaTheme="minorEastAsia"/>
          <w:u w:val="single"/>
        </w:rPr>
        <w:t xml:space="preserve">  </w:t>
      </w:r>
      <w:r>
        <w:rPr>
          <w:rFonts w:hint="eastAsia" w:asciiTheme="minorEastAsia" w:hAnsiTheme="minorEastAsia" w:eastAsiaTheme="minorEastAsia"/>
        </w:rPr>
        <w:t>日参加</w:t>
      </w:r>
      <w:r>
        <w:rPr>
          <w:rFonts w:hint="eastAsia" w:asciiTheme="minorEastAsia" w:hAnsiTheme="minorEastAsia" w:eastAsiaTheme="minorEastAsia"/>
          <w:u w:val="single"/>
        </w:rPr>
        <w:t xml:space="preserve">          </w:t>
      </w:r>
      <w:r>
        <w:rPr>
          <w:rFonts w:hint="eastAsia" w:asciiTheme="minorEastAsia" w:hAnsiTheme="minorEastAsia" w:eastAsiaTheme="minorEastAsia"/>
        </w:rPr>
        <w:t>（项目名称）采购招标</w:t>
      </w: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w:t>
      </w:r>
      <w:r>
        <w:rPr>
          <w:rFonts w:hint="eastAsia" w:asciiTheme="minorEastAsia" w:hAnsiTheme="minorEastAsia" w:eastAsiaTheme="minorEastAsia"/>
        </w:rPr>
        <w:t>的投标，</w:t>
      </w:r>
      <w:r>
        <w:rPr>
          <w:rFonts w:hint="eastAsia" w:asciiTheme="minorEastAsia" w:hAnsiTheme="minorEastAsia" w:eastAsiaTheme="minorEastAsia"/>
          <w:u w:val="single"/>
        </w:rPr>
        <w:t xml:space="preserve">     </w:t>
      </w:r>
      <w:r>
        <w:rPr>
          <w:rFonts w:hint="eastAsia" w:asciiTheme="minorEastAsia" w:hAnsiTheme="minorEastAsia" w:eastAsiaTheme="minorEastAsia"/>
        </w:rPr>
        <w:t>（担保人名称，以下简称“我方”）无条件地、不可撤销地保证：若投标人在投标有效期内撤销投标文件，或中标后无正当理由不与采购人订立合同，或在签订合同时向采购人提出附加条件，或不按照招标文件要求提交履约保证金，以及发生招标文件明确规定可以不予退还投标保证金的其他情形，我方承担保证责任。收到你方书面通知后，我方在 7 日内向你方无条件支付人民币（大写）</w:t>
      </w: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本保函在投标有效期内保持有效。要求我方承担保证责任的通知应在投标有效期内送达我方。</w:t>
      </w:r>
    </w:p>
    <w:p>
      <w:pPr>
        <w:adjustRightInd w:val="0"/>
        <w:snapToGrid w:val="0"/>
        <w:spacing w:before="156" w:beforeLines="50" w:line="360" w:lineRule="auto"/>
        <w:ind w:firstLine="420" w:firstLineChars="200"/>
        <w:jc w:val="left"/>
        <w:rPr>
          <w:rFonts w:asciiTheme="minorEastAsia" w:hAnsiTheme="minorEastAsia" w:eastAsiaTheme="minorEastAsia"/>
        </w:rPr>
      </w:pP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担保人名称：</w:t>
      </w:r>
      <w:r>
        <w:rPr>
          <w:rFonts w:hint="eastAsia" w:asciiTheme="minorEastAsia" w:hAnsiTheme="minorEastAsia" w:eastAsiaTheme="minorEastAsia"/>
          <w:u w:val="single"/>
        </w:rPr>
        <w:t xml:space="preserve">            </w:t>
      </w:r>
      <w:r>
        <w:rPr>
          <w:rFonts w:hint="eastAsia" w:asciiTheme="minorEastAsia" w:hAnsiTheme="minorEastAsia" w:eastAsiaTheme="minorEastAsia"/>
        </w:rPr>
        <w:t>（盖单位章）</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法定代表人（单位负责人）或委托代理人：</w:t>
      </w:r>
      <w:r>
        <w:rPr>
          <w:rFonts w:hint="eastAsia" w:asciiTheme="minorEastAsia" w:hAnsiTheme="minorEastAsia" w:eastAsiaTheme="minorEastAsia"/>
          <w:u w:val="single"/>
        </w:rPr>
        <w:t xml:space="preserve">       </w:t>
      </w:r>
      <w:r>
        <w:rPr>
          <w:rFonts w:hint="eastAsia" w:asciiTheme="minorEastAsia" w:hAnsiTheme="minorEastAsia" w:eastAsiaTheme="minorEastAsia"/>
        </w:rPr>
        <w:t>（签字或印章）</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地    址：</w:t>
      </w:r>
      <w:r>
        <w:rPr>
          <w:rFonts w:hint="eastAsia" w:asciiTheme="minorEastAsia" w:hAnsiTheme="minorEastAsia" w:eastAsiaTheme="minorEastAsia"/>
          <w:u w:val="single"/>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邮政编码：</w:t>
      </w:r>
      <w:r>
        <w:rPr>
          <w:rFonts w:hint="eastAsia" w:asciiTheme="minorEastAsia" w:hAnsiTheme="minorEastAsia" w:eastAsiaTheme="minorEastAsia"/>
          <w:u w:val="single"/>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电    话：</w:t>
      </w:r>
      <w:r>
        <w:rPr>
          <w:rFonts w:hint="eastAsia" w:asciiTheme="minorEastAsia" w:hAnsiTheme="minorEastAsia" w:eastAsiaTheme="minorEastAsia"/>
          <w:u w:val="single"/>
        </w:rPr>
        <w:t xml:space="preserve">                 </w:t>
      </w:r>
    </w:p>
    <w:p>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年</w:t>
      </w:r>
      <w:r>
        <w:rPr>
          <w:rFonts w:hint="eastAsia" w:asciiTheme="minorEastAsia" w:hAnsiTheme="minorEastAsia" w:eastAsiaTheme="minorEastAsia"/>
          <w:u w:val="single"/>
        </w:rPr>
        <w:t xml:space="preserve">   </w:t>
      </w:r>
      <w:r>
        <w:rPr>
          <w:rFonts w:hint="eastAsia" w:asciiTheme="minorEastAsia" w:hAnsiTheme="minorEastAsia" w:eastAsiaTheme="minorEastAsia"/>
        </w:rPr>
        <w:t>月</w:t>
      </w:r>
      <w:r>
        <w:rPr>
          <w:rFonts w:hint="eastAsia" w:asciiTheme="minorEastAsia" w:hAnsiTheme="minorEastAsia" w:eastAsiaTheme="minorEastAsia"/>
          <w:u w:val="single"/>
        </w:rPr>
        <w:t xml:space="preserve">   </w:t>
      </w:r>
      <w:r>
        <w:rPr>
          <w:rFonts w:hint="eastAsia" w:asciiTheme="minorEastAsia" w:hAnsiTheme="minorEastAsia" w:eastAsiaTheme="minorEastAsia"/>
        </w:rPr>
        <w:t>日</w:t>
      </w:r>
    </w:p>
    <w:p>
      <w:pPr>
        <w:widowControl/>
        <w:jc w:val="left"/>
        <w:rPr>
          <w:rFonts w:ascii="黑体" w:eastAsia="黑体"/>
          <w:color w:val="000000"/>
          <w:sz w:val="32"/>
          <w:szCs w:val="32"/>
        </w:rPr>
      </w:pPr>
      <w:r>
        <w:rPr>
          <w:rFonts w:ascii="黑体" w:eastAsia="黑体"/>
          <w:color w:val="000000"/>
          <w:sz w:val="32"/>
          <w:szCs w:val="32"/>
        </w:rPr>
        <w:br w:type="page"/>
      </w:r>
    </w:p>
    <w:p>
      <w:pPr>
        <w:pStyle w:val="5"/>
        <w:adjustRightInd w:val="0"/>
        <w:snapToGrid w:val="0"/>
        <w:spacing w:before="0" w:after="0" w:line="360" w:lineRule="auto"/>
        <w:jc w:val="center"/>
        <w:rPr>
          <w:rFonts w:ascii="黑体" w:hAnsi="黑体" w:eastAsia="黑体"/>
          <w:sz w:val="28"/>
          <w:szCs w:val="28"/>
        </w:rPr>
      </w:pPr>
      <w:bookmarkStart w:id="113" w:name="_Toc20651246"/>
      <w:r>
        <w:rPr>
          <w:rFonts w:hint="eastAsia" w:ascii="黑体" w:hAnsi="黑体" w:eastAsia="黑体"/>
          <w:sz w:val="28"/>
          <w:szCs w:val="28"/>
        </w:rPr>
        <w:t>三、法定代表人（单位负责人）身份证明</w:t>
      </w:r>
      <w:bookmarkEnd w:id="113"/>
    </w:p>
    <w:p>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pPr>
    </w:p>
    <w:p>
      <w:pPr>
        <w:widowControl/>
        <w:jc w:val="left"/>
      </w:pPr>
      <w:r>
        <w:br w:type="page"/>
      </w:r>
    </w:p>
    <w:p>
      <w:pPr>
        <w:pStyle w:val="5"/>
        <w:adjustRightInd w:val="0"/>
        <w:snapToGrid w:val="0"/>
        <w:spacing w:before="0" w:after="0" w:line="360" w:lineRule="auto"/>
        <w:jc w:val="center"/>
        <w:rPr>
          <w:rFonts w:ascii="黑体" w:hAnsi="宋体" w:eastAsia="黑体"/>
          <w:sz w:val="28"/>
          <w:szCs w:val="28"/>
        </w:rPr>
      </w:pPr>
      <w:bookmarkStart w:id="114" w:name="_Toc20651247"/>
      <w:r>
        <w:rPr>
          <w:rFonts w:hint="eastAsia" w:ascii="黑体" w:hAnsi="宋体" w:eastAsia="黑体"/>
          <w:sz w:val="28"/>
          <w:szCs w:val="28"/>
        </w:rPr>
        <w:t>三、授权委托书</w:t>
      </w:r>
      <w:bookmarkEnd w:id="114"/>
    </w:p>
    <w:p>
      <w:pPr>
        <w:autoSpaceDE w:val="0"/>
        <w:autoSpaceDN w:val="0"/>
        <w:adjustRightInd w:val="0"/>
        <w:snapToGrid w:val="0"/>
        <w:spacing w:line="360" w:lineRule="auto"/>
        <w:ind w:firstLine="446" w:firstLineChars="200"/>
        <w:jc w:val="left"/>
        <w:rPr>
          <w:rFonts w:ascii="宋体" w:hAnsi="宋体"/>
          <w:b/>
          <w:spacing w:val="6"/>
          <w:szCs w:val="21"/>
        </w:rPr>
      </w:pPr>
    </w:p>
    <w:p>
      <w:pPr>
        <w:autoSpaceDE w:val="0"/>
        <w:autoSpaceDN w:val="0"/>
        <w:adjustRightInd w:val="0"/>
        <w:snapToGrid w:val="0"/>
        <w:spacing w:line="360" w:lineRule="auto"/>
        <w:ind w:firstLine="420" w:firstLineChars="200"/>
        <w:jc w:val="left"/>
        <w:rPr>
          <w:rFonts w:ascii="宋体" w:hAnsi="宋体" w:cs="宋体"/>
          <w:kern w:val="0"/>
          <w:szCs w:val="21"/>
        </w:rPr>
      </w:pPr>
    </w:p>
    <w:p>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（采购代理编号：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ind w:right="420"/>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（签字或印章）：</w:t>
      </w:r>
      <w:r>
        <w:rPr>
          <w:rFonts w:hint="eastAsia" w:ascii="宋体" w:hAnsi="宋体"/>
          <w:szCs w:val="21"/>
          <w:u w:val="single"/>
        </w:rPr>
        <w:t xml:space="preserve">                     </w:t>
      </w:r>
    </w:p>
    <w:p>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15" w:name="_Toc20651248"/>
      <w:r>
        <w:rPr>
          <w:rFonts w:hint="eastAsia" w:ascii="黑体" w:hAnsi="宋体" w:eastAsia="黑体"/>
          <w:sz w:val="28"/>
          <w:szCs w:val="28"/>
        </w:rPr>
        <w:t>四、投标人提供的资格证明文件</w:t>
      </w:r>
      <w:bookmarkEnd w:id="115"/>
      <w:bookmarkStart w:id="116" w:name="_Toc294186060"/>
      <w:bookmarkStart w:id="117" w:name="_Toc294206743"/>
    </w:p>
    <w:p>
      <w:pPr>
        <w:pStyle w:val="22"/>
        <w:adjustRightInd w:val="0"/>
        <w:snapToGrid w:val="0"/>
        <w:spacing w:line="360" w:lineRule="auto"/>
        <w:jc w:val="center"/>
        <w:rPr>
          <w:rFonts w:hAnsi="宋体" w:cs="Times New Roman"/>
          <w:b/>
          <w:bCs/>
          <w:sz w:val="24"/>
          <w:szCs w:val="24"/>
        </w:rPr>
      </w:pPr>
    </w:p>
    <w:p>
      <w:pPr>
        <w:pStyle w:val="22"/>
        <w:adjustRightInd w:val="0"/>
        <w:snapToGrid w:val="0"/>
        <w:spacing w:line="360" w:lineRule="auto"/>
        <w:jc w:val="center"/>
        <w:rPr>
          <w:rFonts w:ascii="黑体" w:hAnsi="黑体" w:eastAsia="黑体" w:cs="Times New Roman"/>
          <w:b/>
          <w:bCs/>
          <w:sz w:val="28"/>
          <w:szCs w:val="28"/>
        </w:rPr>
      </w:pPr>
      <w:r>
        <w:rPr>
          <w:rFonts w:hint="eastAsia" w:ascii="黑体" w:hAnsi="黑体" w:eastAsia="黑体" w:cs="Times New Roman"/>
          <w:b/>
          <w:bCs/>
          <w:sz w:val="28"/>
          <w:szCs w:val="28"/>
        </w:rPr>
        <w:t>须  知</w:t>
      </w:r>
    </w:p>
    <w:p>
      <w:pPr>
        <w:tabs>
          <w:tab w:val="left" w:pos="4725"/>
        </w:tabs>
        <w:adjustRightInd w:val="0"/>
        <w:snapToGrid w:val="0"/>
        <w:spacing w:before="156" w:beforeLines="50" w:line="360" w:lineRule="auto"/>
        <w:ind w:firstLine="422" w:firstLineChars="200"/>
        <w:rPr>
          <w:rFonts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pPr>
        <w:tabs>
          <w:tab w:val="left" w:pos="4725"/>
        </w:tabs>
        <w:adjustRightInd w:val="0"/>
        <w:snapToGrid w:val="0"/>
        <w:spacing w:before="156"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附件4-1 法人或者其他组织的营业执照等主体资格证明文件，自然人的身份证明</w:t>
      </w:r>
    </w:p>
    <w:p>
      <w:pPr>
        <w:tabs>
          <w:tab w:val="left" w:pos="4725"/>
        </w:tabs>
        <w:adjustRightInd w:val="0"/>
        <w:snapToGrid w:val="0"/>
        <w:spacing w:before="156"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附件4-2 投标人资格声明(格式)</w:t>
      </w:r>
    </w:p>
    <w:p>
      <w:pPr>
        <w:tabs>
          <w:tab w:val="left" w:pos="4725"/>
        </w:tabs>
        <w:adjustRightInd w:val="0"/>
        <w:snapToGrid w:val="0"/>
        <w:spacing w:before="156"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附件4-3 符合特定资格条件证明材料复印件或者情况说明</w:t>
      </w:r>
    </w:p>
    <w:p>
      <w:pPr>
        <w:tabs>
          <w:tab w:val="left" w:pos="4725"/>
        </w:tabs>
        <w:adjustRightInd w:val="0"/>
        <w:snapToGrid w:val="0"/>
        <w:spacing w:before="156"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附件4-4 联合体协议书（格式）（联合体形式投标的提供）</w:t>
      </w:r>
    </w:p>
    <w:p>
      <w:pPr>
        <w:tabs>
          <w:tab w:val="left" w:pos="4725"/>
        </w:tabs>
        <w:adjustRightInd w:val="0"/>
        <w:snapToGrid w:val="0"/>
        <w:spacing w:before="156" w:beforeLines="50" w:line="360" w:lineRule="auto"/>
        <w:ind w:firstLine="420" w:firstLineChars="200"/>
        <w:rPr>
          <w:rFonts w:cs="宋体" w:asciiTheme="minorEastAsia" w:hAnsiTheme="minorEastAsia" w:eastAsiaTheme="minorEastAsia"/>
          <w:szCs w:val="21"/>
        </w:rPr>
      </w:pPr>
      <w:r>
        <w:rPr>
          <w:rFonts w:hint="eastAsia" w:asciiTheme="minorEastAsia" w:hAnsiTheme="minorEastAsia" w:eastAsiaTheme="minorEastAsia"/>
          <w:szCs w:val="21"/>
        </w:rPr>
        <w:t>2、</w:t>
      </w:r>
      <w:r>
        <w:rPr>
          <w:rFonts w:hint="eastAsia" w:cs="宋体" w:asciiTheme="minorEastAsia" w:hAnsiTheme="minorEastAsia" w:eastAsiaTheme="minorEastAsia"/>
          <w:szCs w:val="21"/>
        </w:rPr>
        <w:t>投标人以联合体形式投标的，除应提交联合协议书(本节附4-4)外，参加联合体的各方均应提交上款资格证明材料。</w:t>
      </w:r>
    </w:p>
    <w:p>
      <w:pPr>
        <w:tabs>
          <w:tab w:val="left" w:pos="4725"/>
        </w:tabs>
        <w:adjustRightInd w:val="0"/>
        <w:snapToGrid w:val="0"/>
        <w:spacing w:line="360" w:lineRule="auto"/>
        <w:rPr>
          <w:rFonts w:cs="宋体" w:asciiTheme="minorEastAsia" w:hAnsiTheme="minorEastAsia" w:eastAsiaTheme="minorEastAsia"/>
          <w:szCs w:val="21"/>
        </w:rPr>
      </w:pPr>
    </w:p>
    <w:p>
      <w:pPr>
        <w:widowControl/>
        <w:adjustRightInd w:val="0"/>
        <w:snapToGrid w:val="0"/>
        <w:spacing w:line="360" w:lineRule="auto"/>
        <w:jc w:val="left"/>
        <w:rPr>
          <w:rFonts w:ascii="黑体" w:hAnsi="仿宋" w:eastAsia="黑体" w:cs="宋体"/>
          <w:szCs w:val="21"/>
        </w:rPr>
      </w:pPr>
      <w:r>
        <w:rPr>
          <w:rFonts w:ascii="黑体" w:hAnsi="仿宋" w:eastAsia="黑体" w:cs="宋体"/>
          <w:szCs w:val="21"/>
        </w:rPr>
        <w:br w:type="page"/>
      </w:r>
    </w:p>
    <w:p>
      <w:pPr>
        <w:pStyle w:val="6"/>
        <w:rPr>
          <w:rFonts w:ascii="黑体" w:hAnsi="仿宋" w:cs="宋体"/>
          <w:b w:val="0"/>
          <w:sz w:val="21"/>
          <w:szCs w:val="21"/>
        </w:rPr>
      </w:pPr>
      <w:bookmarkStart w:id="118" w:name="_Toc20651249"/>
      <w:r>
        <w:rPr>
          <w:rFonts w:hint="eastAsia" w:ascii="黑体" w:hAnsi="仿宋" w:cs="宋体"/>
          <w:b w:val="0"/>
          <w:sz w:val="21"/>
          <w:szCs w:val="21"/>
        </w:rPr>
        <w:t>附件4-1 法人或者其他组织的营业执照等主体资格证明文件，自然人的身份证明</w:t>
      </w:r>
      <w:bookmarkEnd w:id="118"/>
    </w:p>
    <w:p>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pPr>
        <w:widowControl/>
        <w:adjustRightInd w:val="0"/>
        <w:snapToGrid w:val="0"/>
        <w:spacing w:before="156" w:beforeLines="50" w:line="360" w:lineRule="auto"/>
        <w:ind w:firstLine="420" w:firstLineChars="200"/>
        <w:jc w:val="left"/>
        <w:rPr>
          <w:rFonts w:cs="宋体" w:asciiTheme="minorEastAsia" w:hAnsiTheme="minorEastAsia" w:eastAsiaTheme="minorEastAsia"/>
          <w:szCs w:val="21"/>
        </w:rPr>
      </w:pPr>
    </w:p>
    <w:p>
      <w:pPr>
        <w:adjustRightInd w:val="0"/>
        <w:snapToGrid w:val="0"/>
        <w:spacing w:before="156" w:beforeLines="50"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（2）项要求提供。</w:t>
      </w:r>
    </w:p>
    <w:p>
      <w:pPr>
        <w:adjustRightInd w:val="0"/>
        <w:snapToGrid w:val="0"/>
        <w:spacing w:before="156"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（1）</w:t>
      </w:r>
      <w:r>
        <w:rPr>
          <w:rFonts w:hint="eastAsia" w:asciiTheme="minorEastAsia" w:hAnsiTheme="minorEastAsia"/>
        </w:rPr>
        <w:t>投标人为法人的，应提交营业执照或法人登记证书的复印件；</w:t>
      </w:r>
    </w:p>
    <w:p>
      <w:pPr>
        <w:adjustRightInd w:val="0"/>
        <w:snapToGrid w:val="0"/>
        <w:spacing w:before="156"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（2）</w:t>
      </w:r>
      <w:r>
        <w:rPr>
          <w:rFonts w:hint="eastAsia" w:asciiTheme="minorEastAsia" w:hAnsiTheme="minorEastAsia"/>
        </w:rPr>
        <w:t>投标人为非法人组织的，应提交依法登记证书复印件；</w:t>
      </w:r>
    </w:p>
    <w:p>
      <w:pPr>
        <w:adjustRightInd w:val="0"/>
        <w:snapToGrid w:val="0"/>
        <w:spacing w:before="156"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（3）</w:t>
      </w:r>
      <w:r>
        <w:rPr>
          <w:rFonts w:hint="eastAsia" w:asciiTheme="minorEastAsia" w:hAnsiTheme="minorEastAsia"/>
        </w:rPr>
        <w:t>投标人为个体工商户的，应提交个体工商户营业执照复印件；</w:t>
      </w:r>
    </w:p>
    <w:p>
      <w:pPr>
        <w:adjustRightInd w:val="0"/>
        <w:snapToGrid w:val="0"/>
        <w:spacing w:before="156"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（4）</w:t>
      </w:r>
      <w:r>
        <w:rPr>
          <w:rFonts w:hint="eastAsia" w:asciiTheme="minorEastAsia" w:hAnsiTheme="minorEastAsia"/>
        </w:rPr>
        <w:t>投标人为自然人的，应提交自然人的身份证明复印件。</w:t>
      </w:r>
    </w:p>
    <w:p>
      <w:pPr>
        <w:adjustRightInd w:val="0"/>
        <w:snapToGrid w:val="0"/>
        <w:spacing w:before="156" w:beforeLines="50" w:line="360" w:lineRule="auto"/>
        <w:ind w:firstLine="420" w:firstLineChars="200"/>
        <w:rPr>
          <w:rFonts w:asciiTheme="minorEastAsia" w:hAnsiTheme="minorEastAsia"/>
        </w:rPr>
      </w:pPr>
    </w:p>
    <w:p>
      <w:pPr>
        <w:widowControl/>
        <w:jc w:val="left"/>
        <w:rPr>
          <w:rFonts w:ascii="黑体" w:hAnsi="仿宋" w:eastAsia="黑体" w:cs="宋体"/>
          <w:bCs/>
          <w:szCs w:val="21"/>
        </w:rPr>
      </w:pPr>
      <w:r>
        <w:rPr>
          <w:rFonts w:ascii="黑体" w:hAnsi="仿宋" w:cs="宋体"/>
          <w:b/>
          <w:szCs w:val="21"/>
        </w:rPr>
        <w:br w:type="page"/>
      </w:r>
    </w:p>
    <w:p>
      <w:pPr>
        <w:pStyle w:val="6"/>
        <w:adjustRightInd w:val="0"/>
        <w:snapToGrid w:val="0"/>
        <w:spacing w:before="156" w:beforeLines="50" w:after="0" w:line="360" w:lineRule="auto"/>
        <w:rPr>
          <w:rFonts w:ascii="黑体" w:hAnsi="仿宋" w:cs="宋体"/>
          <w:b w:val="0"/>
          <w:sz w:val="21"/>
          <w:szCs w:val="21"/>
        </w:rPr>
      </w:pPr>
      <w:bookmarkStart w:id="119" w:name="_Toc20651250"/>
      <w:r>
        <w:rPr>
          <w:rFonts w:hint="eastAsia" w:ascii="黑体" w:hAnsi="仿宋" w:cs="宋体"/>
          <w:b w:val="0"/>
          <w:sz w:val="21"/>
          <w:szCs w:val="21"/>
        </w:rPr>
        <w:t>附件4-2 投标人资格声明(格式)</w:t>
      </w:r>
      <w:bookmarkEnd w:id="119"/>
    </w:p>
    <w:p>
      <w:pPr>
        <w:widowControl/>
        <w:adjustRightInd w:val="0"/>
        <w:snapToGrid w:val="0"/>
        <w:spacing w:before="156" w:beforeLines="50" w:line="360" w:lineRule="auto"/>
        <w:jc w:val="center"/>
        <w:rPr>
          <w:rFonts w:cs="宋体" w:asciiTheme="minorEastAsia" w:hAnsiTheme="minorEastAsia" w:eastAsiaTheme="minorEastAsia"/>
          <w:szCs w:val="21"/>
        </w:rPr>
      </w:pPr>
      <w:r>
        <w:rPr>
          <w:rFonts w:hint="eastAsia" w:ascii="黑体" w:hAnsi="仿宋" w:eastAsia="黑体" w:cs="宋体"/>
          <w:b/>
          <w:sz w:val="28"/>
          <w:szCs w:val="28"/>
        </w:rPr>
        <w:t>投标人资格声明(格式)</w:t>
      </w:r>
    </w:p>
    <w:p>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Theme="minorEastAsia" w:hAnsiTheme="minorEastAsia" w:eastAsiaTheme="minorEastAsia"/>
          <w:szCs w:val="21"/>
        </w:rPr>
        <w:t>记录</w:t>
      </w:r>
      <w:r>
        <w:rPr>
          <w:rFonts w:hint="eastAsia" w:ascii="宋体" w:hAnsi="宋体" w:cs="宋体"/>
          <w:szCs w:val="21"/>
        </w:rPr>
        <w:t>。</w:t>
      </w:r>
    </w:p>
    <w:p>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供应商在参加采购活动前3年内因违法经营被禁止在一定期限内参加采购活动，期限届满的，可以参加采购活动。</w:t>
      </w:r>
    </w:p>
    <w:p>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pPr>
        <w:adjustRightInd w:val="0"/>
        <w:snapToGrid w:val="0"/>
        <w:spacing w:before="156" w:beforeLines="50" w:line="360" w:lineRule="auto"/>
        <w:ind w:firstLine="420" w:firstLineChars="200"/>
        <w:rPr>
          <w:szCs w:val="21"/>
        </w:rPr>
      </w:pPr>
      <w:r>
        <w:rPr>
          <w:rFonts w:hint="eastAsia" w:asciiTheme="minorEastAsia" w:hAnsiTheme="minorEastAsia" w:eastAsiaTheme="minorEastAsia"/>
          <w:szCs w:val="21"/>
        </w:rPr>
        <w:t>1、</w:t>
      </w:r>
      <w:r>
        <w:rPr>
          <w:rFonts w:hint="eastAsia"/>
          <w:szCs w:val="21"/>
        </w:rPr>
        <w:t>与我单位的法定代表人（单位负责人）为同一人的其他单位如下：</w:t>
      </w:r>
      <w:r>
        <w:rPr>
          <w:rFonts w:hint="eastAsia" w:asciiTheme="minorEastAsia" w:hAnsiTheme="minorEastAsia" w:eastAsiaTheme="minorEastAsia"/>
          <w:szCs w:val="21"/>
          <w:u w:val="single"/>
        </w:rPr>
        <w:t xml:space="preserve">               </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w:t>
      </w:r>
      <w:r>
        <w:rPr>
          <w:rFonts w:hint="eastAsia"/>
          <w:szCs w:val="21"/>
        </w:rPr>
        <w:t>单位</w:t>
      </w:r>
      <w:r>
        <w:rPr>
          <w:rFonts w:hint="eastAsia" w:asciiTheme="minorEastAsia" w:hAnsiTheme="minorEastAsia" w:eastAsiaTheme="minorEastAsia"/>
          <w:szCs w:val="21"/>
        </w:rPr>
        <w:t>直接控股的其他单位如下：</w:t>
      </w:r>
      <w:r>
        <w:rPr>
          <w:rFonts w:hint="eastAsia" w:asciiTheme="minorEastAsia" w:hAnsiTheme="minorEastAsia" w:eastAsiaTheme="minorEastAsia"/>
          <w:szCs w:val="21"/>
          <w:u w:val="single"/>
        </w:rPr>
        <w:t xml:space="preserve">               </w:t>
      </w:r>
    </w:p>
    <w:p>
      <w:pPr>
        <w:adjustRightInd w:val="0"/>
        <w:snapToGrid w:val="0"/>
        <w:spacing w:before="156" w:beforeLines="50" w:line="360" w:lineRule="auto"/>
        <w:ind w:firstLine="420" w:firstLineChars="200"/>
        <w:rPr>
          <w:szCs w:val="21"/>
        </w:rPr>
      </w:pPr>
      <w:r>
        <w:rPr>
          <w:rFonts w:hint="eastAsia" w:asciiTheme="minorEastAsia" w:hAnsiTheme="minorEastAsia" w:eastAsiaTheme="minorEastAsia"/>
          <w:szCs w:val="21"/>
        </w:rPr>
        <w:t>3、与我</w:t>
      </w:r>
      <w:r>
        <w:rPr>
          <w:rFonts w:hint="eastAsia"/>
          <w:szCs w:val="21"/>
        </w:rPr>
        <w:t>单位存在</w:t>
      </w:r>
      <w:r>
        <w:rPr>
          <w:rFonts w:hint="eastAsia" w:asciiTheme="minorEastAsia" w:hAnsiTheme="minorEastAsia" w:eastAsiaTheme="minorEastAsia"/>
          <w:szCs w:val="21"/>
        </w:rPr>
        <w:t>管理关系的其他单位如下：</w:t>
      </w:r>
      <w:r>
        <w:rPr>
          <w:rFonts w:hint="eastAsia" w:asciiTheme="minorEastAsia" w:hAnsiTheme="minorEastAsia" w:eastAsiaTheme="minorEastAsia"/>
          <w:szCs w:val="21"/>
          <w:u w:val="single"/>
        </w:rPr>
        <w:t xml:space="preserve">               </w:t>
      </w:r>
    </w:p>
    <w:p>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Theme="minorEastAsia" w:hAnsiTheme="minorEastAsia" w:eastAsiaTheme="minorEastAsia"/>
          <w:szCs w:val="21"/>
        </w:rPr>
        <w:t>我</w:t>
      </w:r>
      <w:r>
        <w:rPr>
          <w:rFonts w:hint="eastAsia" w:asciiTheme="minorEastAsia" w:hAnsiTheme="minorEastAsia" w:eastAsiaTheme="minorEastAsia"/>
          <w:szCs w:val="21"/>
        </w:rPr>
        <w:t>单位</w:t>
      </w:r>
      <w:r>
        <w:rPr>
          <w:rFonts w:asciiTheme="minorEastAsia" w:hAnsiTheme="minorEastAsia" w:eastAsiaTheme="minorEastAsia"/>
          <w:szCs w:val="21"/>
        </w:rPr>
        <w:t>不属于为本项目提供整体设计、规范编制或者项目管理、监理、检测等服务的投标人。</w:t>
      </w:r>
    </w:p>
    <w:p>
      <w:pPr>
        <w:widowControl/>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w:t>
      </w:r>
      <w:r>
        <w:rPr>
          <w:rFonts w:asciiTheme="minorEastAsia" w:hAnsiTheme="minorEastAsia" w:eastAsiaTheme="minorEastAsia"/>
          <w:szCs w:val="21"/>
        </w:rPr>
        <w:t>我单位无以下不良信用记录情形：</w:t>
      </w:r>
    </w:p>
    <w:p>
      <w:pPr>
        <w:widowControl/>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、在</w:t>
      </w:r>
      <w:r>
        <w:rPr>
          <w:rFonts w:hint="eastAsia" w:ascii="宋体" w:hAnsi="宋体" w:cs="宋体"/>
          <w:szCs w:val="21"/>
        </w:rPr>
        <w:t>“信用中国”网站被列入失信被执行人和重大税收违法案件当事人名单；</w:t>
      </w:r>
    </w:p>
    <w:p>
      <w:pPr>
        <w:widowControl/>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w:t>
      </w:r>
      <w:r>
        <w:rPr>
          <w:rFonts w:hint="eastAsia" w:ascii="宋体" w:hAnsi="宋体" w:cs="宋体"/>
          <w:szCs w:val="21"/>
        </w:rPr>
        <w:t>“中国政府采购网”网站被列入政府采购严重违法失信行为记录名单；</w:t>
      </w:r>
    </w:p>
    <w:p>
      <w:pPr>
        <w:widowControl/>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不符合《政府采购法》第二十二条规定的条件。</w:t>
      </w:r>
    </w:p>
    <w:p>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pPr>
        <w:widowControl/>
        <w:adjustRightInd w:val="0"/>
        <w:snapToGrid w:val="0"/>
        <w:spacing w:before="156" w:beforeLines="50" w:line="360" w:lineRule="auto"/>
        <w:jc w:val="left"/>
        <w:rPr>
          <w:rFonts w:ascii="宋体" w:hAnsi="宋体" w:cs="宋体"/>
          <w:szCs w:val="21"/>
        </w:rPr>
      </w:pPr>
    </w:p>
    <w:p>
      <w:pPr>
        <w:widowControl/>
        <w:adjustRightInd w:val="0"/>
        <w:snapToGrid w:val="0"/>
        <w:spacing w:before="156" w:beforeLines="50" w:line="360" w:lineRule="auto"/>
        <w:jc w:val="left"/>
        <w:rPr>
          <w:rFonts w:ascii="宋体" w:hAnsi="宋体" w:cs="宋体"/>
          <w:szCs w:val="21"/>
        </w:rPr>
      </w:pPr>
      <w:r>
        <w:rPr>
          <w:rFonts w:hint="eastAsia" w:cs="宋体" w:asciiTheme="minorEastAsia" w:hAnsiTheme="minorEastAsia" w:eastAsiaTheme="minorEastAsia"/>
          <w:szCs w:val="21"/>
        </w:rPr>
        <w:t>注：第三条“良好的商业信誉”是指投标人经营状况良好，无本资格声明第十条情形。</w:t>
      </w:r>
    </w:p>
    <w:p>
      <w:pPr>
        <w:widowControl/>
        <w:adjustRightInd w:val="0"/>
        <w:snapToGrid w:val="0"/>
        <w:spacing w:before="156" w:beforeLines="50" w:line="360" w:lineRule="auto"/>
        <w:jc w:val="left"/>
        <w:rPr>
          <w:rFonts w:ascii="宋体" w:hAnsi="宋体" w:cs="宋体"/>
          <w:color w:val="FF0000"/>
          <w:szCs w:val="21"/>
        </w:rPr>
      </w:pPr>
    </w:p>
    <w:p>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pPr>
        <w:widowControl/>
        <w:adjustRightInd w:val="0"/>
        <w:snapToGrid w:val="0"/>
        <w:spacing w:line="360" w:lineRule="auto"/>
        <w:jc w:val="left"/>
        <w:rPr>
          <w:rFonts w:ascii="宋体" w:hAnsi="宋体" w:cs="宋体"/>
          <w:b/>
          <w:bCs/>
          <w:kern w:val="0"/>
          <w:sz w:val="44"/>
          <w:szCs w:val="44"/>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rPr>
        <w:t>或委托代理人：</w:t>
      </w:r>
      <w:r>
        <w:rPr>
          <w:rFonts w:hint="eastAsia" w:asciiTheme="minorEastAsia" w:hAnsiTheme="minorEastAsia" w:eastAsiaTheme="minorEastAsia"/>
          <w:u w:val="single"/>
        </w:rPr>
        <w:t xml:space="preserve">       </w:t>
      </w:r>
      <w:r>
        <w:rPr>
          <w:rFonts w:hint="eastAsia" w:asciiTheme="minorEastAsia" w:hAnsiTheme="minorEastAsia" w:eastAsiaTheme="minorEastAsia"/>
        </w:rPr>
        <w:t>（签字或印章）</w:t>
      </w:r>
    </w:p>
    <w:p>
      <w:pPr>
        <w:widowControl/>
        <w:adjustRightInd w:val="0"/>
        <w:snapToGrid w:val="0"/>
        <w:spacing w:line="360" w:lineRule="auto"/>
        <w:jc w:val="left"/>
        <w:rPr>
          <w:rFonts w:cs="宋体" w:asciiTheme="minorEastAsia" w:hAnsiTheme="minorEastAsia" w:eastAsiaTheme="minorEastAsia"/>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widowControl/>
        <w:jc w:val="left"/>
        <w:rPr>
          <w:rFonts w:ascii="黑体" w:hAnsi="仿宋" w:eastAsia="黑体" w:cs="宋体"/>
          <w:bCs/>
          <w:szCs w:val="21"/>
        </w:rPr>
      </w:pPr>
      <w:r>
        <w:rPr>
          <w:rFonts w:ascii="黑体" w:hAnsi="仿宋" w:cs="宋体"/>
          <w:b/>
          <w:szCs w:val="21"/>
        </w:rPr>
        <w:br w:type="page"/>
      </w:r>
    </w:p>
    <w:p>
      <w:pPr>
        <w:pStyle w:val="6"/>
        <w:rPr>
          <w:rFonts w:ascii="黑体" w:hAnsi="仿宋" w:cs="宋体"/>
          <w:b w:val="0"/>
          <w:sz w:val="21"/>
          <w:szCs w:val="21"/>
        </w:rPr>
      </w:pPr>
      <w:bookmarkStart w:id="120" w:name="_Toc20651251"/>
      <w:r>
        <w:rPr>
          <w:rFonts w:hint="eastAsia" w:ascii="黑体" w:hAnsi="仿宋" w:cs="宋体"/>
          <w:b w:val="0"/>
          <w:sz w:val="21"/>
          <w:szCs w:val="21"/>
        </w:rPr>
        <w:t>附件4-3 符合特定资格条件证明材料复印件或者情况说明</w:t>
      </w:r>
      <w:bookmarkEnd w:id="120"/>
    </w:p>
    <w:p>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pPr>
        <w:widowControl/>
        <w:adjustRightInd w:val="0"/>
        <w:snapToGrid w:val="0"/>
        <w:spacing w:line="360" w:lineRule="auto"/>
        <w:ind w:firstLine="560" w:firstLineChars="200"/>
        <w:jc w:val="left"/>
        <w:rPr>
          <w:rFonts w:ascii="黑体" w:hAnsi="仿宋" w:eastAsia="黑体" w:cs="宋体"/>
          <w:sz w:val="28"/>
          <w:szCs w:val="28"/>
        </w:rPr>
      </w:pPr>
    </w:p>
    <w:p>
      <w:pPr>
        <w:widowControl/>
        <w:adjustRightInd w:val="0"/>
        <w:snapToGrid w:val="0"/>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（3）项要求提供。</w:t>
      </w:r>
    </w:p>
    <w:p>
      <w:pPr>
        <w:widowControl/>
        <w:jc w:val="left"/>
        <w:rPr>
          <w:rFonts w:ascii="黑体" w:hAnsi="仿宋" w:eastAsia="黑体" w:cs="宋体"/>
          <w:szCs w:val="21"/>
        </w:rPr>
      </w:pPr>
      <w:r>
        <w:rPr>
          <w:rFonts w:ascii="黑体" w:hAnsi="仿宋" w:eastAsia="黑体" w:cs="宋体"/>
          <w:szCs w:val="21"/>
        </w:rPr>
        <w:br w:type="page"/>
      </w:r>
    </w:p>
    <w:p>
      <w:pPr>
        <w:pStyle w:val="6"/>
        <w:rPr>
          <w:rFonts w:ascii="黑体" w:cs="宋体" w:hAnsiTheme="minorEastAsia"/>
          <w:b w:val="0"/>
          <w:kern w:val="0"/>
          <w:sz w:val="21"/>
          <w:szCs w:val="21"/>
        </w:rPr>
      </w:pPr>
      <w:bookmarkStart w:id="121" w:name="_Toc20651252"/>
      <w:r>
        <w:rPr>
          <w:rFonts w:hint="eastAsia" w:ascii="黑体" w:hAnsi="仿宋" w:cs="宋体"/>
          <w:b w:val="0"/>
          <w:sz w:val="21"/>
          <w:szCs w:val="21"/>
        </w:rPr>
        <w:t>附件4-4 联合体协议书（格式）</w:t>
      </w:r>
      <w:bookmarkEnd w:id="121"/>
    </w:p>
    <w:p>
      <w:pPr>
        <w:adjustRightInd w:val="0"/>
        <w:snapToGrid w:val="0"/>
        <w:spacing w:line="360" w:lineRule="auto"/>
        <w:jc w:val="center"/>
        <w:rPr>
          <w:rFonts w:asciiTheme="minorEastAsia" w:hAnsiTheme="minorEastAsia" w:eastAsiaTheme="minorEastAsia"/>
          <w:b/>
          <w:color w:val="000000"/>
          <w:szCs w:val="21"/>
        </w:rPr>
      </w:pPr>
      <w:r>
        <w:rPr>
          <w:rFonts w:hint="eastAsia" w:ascii="黑体" w:hAnsi="仿宋" w:eastAsia="黑体" w:cs="宋体"/>
          <w:b/>
          <w:sz w:val="28"/>
          <w:szCs w:val="28"/>
        </w:rPr>
        <w:t>联合体协议书（格式）</w:t>
      </w:r>
    </w:p>
    <w:p>
      <w:pPr>
        <w:adjustRightInd w:val="0"/>
        <w:snapToGrid w:val="0"/>
        <w:spacing w:line="360" w:lineRule="auto"/>
        <w:rPr>
          <w:rFonts w:asciiTheme="minorEastAsia" w:hAnsiTheme="minorEastAsia" w:eastAsiaTheme="minorEastAsia"/>
          <w:color w:val="000000"/>
          <w:szCs w:val="21"/>
        </w:rPr>
      </w:pPr>
    </w:p>
    <w:p>
      <w:pPr>
        <w:adjustRightInd w:val="0"/>
        <w:snapToGrid w:val="0"/>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致</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rPr>
        <w:t>（采购人、采购代理机构</w:t>
      </w:r>
      <w:r>
        <w:rPr>
          <w:rFonts w:hint="eastAsia" w:asciiTheme="minorEastAsia" w:hAnsiTheme="minorEastAsia" w:eastAsiaTheme="minorEastAsia"/>
          <w:szCs w:val="21"/>
        </w:rPr>
        <w:t>）：</w:t>
      </w:r>
    </w:p>
    <w:p>
      <w:pPr>
        <w:adjustRightInd w:val="0"/>
        <w:snapToGrid w:val="0"/>
        <w:spacing w:line="36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经研究，我们决定自愿组成联合体共同参加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w:t>
      </w:r>
      <w:r>
        <w:rPr>
          <w:rFonts w:asciiTheme="minorEastAsia" w:hAnsiTheme="minorEastAsia" w:eastAsiaTheme="minorEastAsia"/>
          <w:szCs w:val="21"/>
        </w:rPr>
        <w:t>）</w:t>
      </w: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）项目的投标</w:t>
      </w:r>
      <w:r>
        <w:rPr>
          <w:rFonts w:hint="eastAsia" w:asciiTheme="minorEastAsia" w:hAnsiTheme="minorEastAsia" w:eastAsiaTheme="minorEastAsia"/>
          <w:color w:val="000000"/>
          <w:szCs w:val="21"/>
        </w:rPr>
        <w:t>。</w:t>
      </w:r>
      <w:r>
        <w:rPr>
          <w:rFonts w:hint="eastAsia" w:asciiTheme="minorEastAsia" w:hAnsiTheme="minorEastAsia" w:eastAsiaTheme="minorEastAsia"/>
          <w:szCs w:val="21"/>
        </w:rPr>
        <w:t>现就联合体投标事宜订立如下协议：</w:t>
      </w:r>
    </w:p>
    <w:p>
      <w:pPr>
        <w:adjustRightInd w:val="0"/>
        <w:snapToGrid w:val="0"/>
        <w:spacing w:line="360" w:lineRule="auto"/>
        <w:ind w:firstLine="420" w:firstLineChars="200"/>
        <w:rPr>
          <w:rFonts w:asciiTheme="minorEastAsia" w:hAnsiTheme="minorEastAsia" w:eastAsiaTheme="minorEastAsia"/>
          <w:szCs w:val="21"/>
          <w:u w:val="single"/>
        </w:rPr>
      </w:pPr>
      <w:r>
        <w:rPr>
          <w:rFonts w:hint="eastAsia" w:asciiTheme="minorEastAsia" w:hAnsiTheme="minorEastAsia" w:eastAsiaTheme="minorEastAsia"/>
          <w:szCs w:val="21"/>
        </w:rPr>
        <w:t>一、联合体基本信息：</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（各方公司名称、地址、注册资金、营业执照、</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姓名）</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（某成员单位名称）为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（联合体名称）牵头人。</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四．联合体将严格按照招标文件的各项要求，递交投标文件，参加投标，履行中标义务和中标后的合同，并向采购人承担连带责任。</w:t>
      </w:r>
    </w:p>
    <w:p>
      <w:pPr>
        <w:adjustRightInd w:val="0"/>
        <w:snapToGrid w:val="0"/>
        <w:spacing w:line="360" w:lineRule="auto"/>
        <w:ind w:firstLine="420" w:firstLineChars="200"/>
        <w:rPr>
          <w:rFonts w:asciiTheme="minorEastAsia" w:hAnsiTheme="minorEastAsia" w:eastAsiaTheme="minorEastAsia"/>
          <w:szCs w:val="21"/>
          <w:u w:val="single"/>
        </w:rPr>
      </w:pPr>
      <w:r>
        <w:rPr>
          <w:rFonts w:hint="eastAsia" w:asciiTheme="minorEastAsia" w:hAnsiTheme="minorEastAsia" w:eastAsiaTheme="minorEastAsia"/>
          <w:szCs w:val="21"/>
        </w:rPr>
        <w:t>五、联合体各成员单位内部的职责分工如下：</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。按照本条上述分工，联合体各成员的协议合同金额占联合体协议合同总金额比例如下：</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六、本协议书自签署之日起生效，合同履行完毕后自动失效。</w:t>
      </w:r>
    </w:p>
    <w:p>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七、本协议书一式</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份，联合体成员和采购人各执一份。</w:t>
      </w:r>
    </w:p>
    <w:p>
      <w:pPr>
        <w:adjustRightInd w:val="0"/>
        <w:snapToGrid w:val="0"/>
        <w:spacing w:line="360" w:lineRule="auto"/>
        <w:rPr>
          <w:rFonts w:asciiTheme="minorEastAsia" w:hAnsiTheme="minorEastAsia" w:eastAsiaTheme="minorEastAsia"/>
          <w:szCs w:val="21"/>
        </w:rPr>
      </w:pP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牵头人名称（盖单位章）：</w:t>
      </w:r>
    </w:p>
    <w:p>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或其委托代理人（签字或印章）：</w:t>
      </w:r>
      <w:r>
        <w:rPr>
          <w:rFonts w:hint="eastAsia" w:asciiTheme="minorEastAsia" w:hAnsiTheme="minorEastAsia" w:eastAsiaTheme="minorEastAsia"/>
          <w:szCs w:val="21"/>
          <w:u w:val="single"/>
        </w:rPr>
        <w:t xml:space="preserve">                          </w:t>
      </w:r>
    </w:p>
    <w:p>
      <w:pPr>
        <w:adjustRightInd w:val="0"/>
        <w:snapToGrid w:val="0"/>
        <w:spacing w:line="360" w:lineRule="auto"/>
        <w:rPr>
          <w:rFonts w:asciiTheme="minorEastAsia" w:hAnsiTheme="minorEastAsia" w:eastAsiaTheme="minorEastAsia"/>
          <w:szCs w:val="21"/>
        </w:rPr>
      </w:pP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成员1名称（盖单位章）：</w:t>
      </w:r>
    </w:p>
    <w:p>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或其委托代理人（签字或印章）：</w:t>
      </w:r>
      <w:r>
        <w:rPr>
          <w:rFonts w:hint="eastAsia" w:asciiTheme="minorEastAsia" w:hAnsiTheme="minorEastAsia" w:eastAsiaTheme="minorEastAsia"/>
          <w:szCs w:val="21"/>
          <w:u w:val="single"/>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成员2名称（盖单位章）：</w:t>
      </w:r>
    </w:p>
    <w:p>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或其委托代理人（签字或印章）：</w:t>
      </w:r>
      <w:r>
        <w:rPr>
          <w:rFonts w:hint="eastAsia" w:asciiTheme="minorEastAsia" w:hAnsiTheme="minorEastAsia" w:eastAsiaTheme="minorEastAsia"/>
          <w:szCs w:val="21"/>
          <w:u w:val="single"/>
        </w:rPr>
        <w:t xml:space="preserve">                          </w:t>
      </w:r>
    </w:p>
    <w:p>
      <w:pPr>
        <w:adjustRightInd w:val="0"/>
        <w:snapToGrid w:val="0"/>
        <w:spacing w:line="360" w:lineRule="auto"/>
        <w:rPr>
          <w:rFonts w:asciiTheme="minorEastAsia" w:hAnsiTheme="minorEastAsia" w:eastAsiaTheme="minorEastAsia"/>
          <w:szCs w:val="21"/>
        </w:rPr>
      </w:pPr>
      <w:r>
        <w:rPr>
          <w:rFonts w:asciiTheme="minorEastAsia" w:hAnsiTheme="minorEastAsia" w:eastAsiaTheme="minorEastAsia"/>
          <w:szCs w:val="21"/>
        </w:rPr>
        <w:t>…</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日  </w:t>
      </w:r>
    </w:p>
    <w:p>
      <w:pPr>
        <w:widowControl/>
        <w:adjustRightInd w:val="0"/>
        <w:snapToGrid w:val="0"/>
        <w:spacing w:line="360" w:lineRule="auto"/>
        <w:ind w:firstLine="422" w:firstLineChars="200"/>
        <w:jc w:val="left"/>
        <w:rPr>
          <w:rFonts w:asciiTheme="minorEastAsia" w:hAnsiTheme="minorEastAsia" w:eastAsiaTheme="minorEastAsia"/>
          <w:szCs w:val="21"/>
        </w:rPr>
      </w:pPr>
      <w:r>
        <w:rPr>
          <w:rFonts w:hint="eastAsia" w:asciiTheme="minorEastAsia" w:hAnsiTheme="minorEastAsia" w:eastAsiaTheme="minorEastAsia"/>
          <w:b/>
          <w:szCs w:val="21"/>
        </w:rPr>
        <w:t>注</w:t>
      </w:r>
      <w:r>
        <w:rPr>
          <w:rFonts w:hint="eastAsia" w:asciiTheme="minorEastAsia" w:hAnsiTheme="minorEastAsia" w:eastAsiaTheme="minorEastAsia"/>
          <w:szCs w:val="21"/>
        </w:rPr>
        <w:t>：1、本协议书由委托代理人签字的，应附法定代表人（单位负责人）授权委托书。</w:t>
      </w:r>
    </w:p>
    <w:p>
      <w:pPr>
        <w:widowControl/>
        <w:adjustRightInd w:val="0"/>
        <w:snapToGrid w:val="0"/>
        <w:spacing w:line="360" w:lineRule="auto"/>
        <w:ind w:firstLine="420" w:firstLineChars="200"/>
        <w:jc w:val="left"/>
        <w:rPr>
          <w:rFonts w:ascii="黑体" w:eastAsia="黑体"/>
          <w:color w:val="000000"/>
          <w:sz w:val="32"/>
          <w:szCs w:val="32"/>
        </w:rPr>
      </w:pPr>
      <w:r>
        <w:rPr>
          <w:rFonts w:hint="eastAsia" w:asciiTheme="minorEastAsia" w:hAnsiTheme="minorEastAsia" w:eastAsiaTheme="minorEastAsia"/>
          <w:szCs w:val="21"/>
        </w:rPr>
        <w:t>2、投标人在提交投标文件的截止时间前修改“开标一览表”中的投标报价，影响本协议书第五条的，应同时修改本协议书第五条。</w:t>
      </w:r>
      <w:bookmarkEnd w:id="116"/>
      <w:bookmarkEnd w:id="117"/>
      <w:r>
        <w:rPr>
          <w:rFonts w:hint="eastAsia" w:asciiTheme="minorEastAsia" w:hAnsiTheme="minorEastAsia" w:eastAsiaTheme="minorEastAsia"/>
          <w:szCs w:val="21"/>
        </w:rPr>
        <w:t>否则，评审时价格评审优惠不予以考虑。</w:t>
      </w:r>
      <w:r>
        <w:rPr>
          <w:rFonts w:ascii="宋体" w:hAnsi="宋体"/>
          <w:szCs w:val="21"/>
        </w:rPr>
        <w:br w:type="page"/>
      </w:r>
    </w:p>
    <w:p>
      <w:pPr>
        <w:adjustRightInd w:val="0"/>
        <w:snapToGrid w:val="0"/>
        <w:spacing w:line="360" w:lineRule="auto"/>
        <w:jc w:val="center"/>
        <w:rPr>
          <w:rFonts w:ascii="黑体" w:eastAsia="黑体"/>
          <w:color w:val="000000"/>
          <w:sz w:val="32"/>
          <w:szCs w:val="32"/>
        </w:rPr>
      </w:pPr>
    </w:p>
    <w:p>
      <w:pPr>
        <w:adjustRightInd w:val="0"/>
        <w:snapToGrid w:val="0"/>
        <w:spacing w:line="360" w:lineRule="auto"/>
        <w:jc w:val="center"/>
        <w:rPr>
          <w:rFonts w:ascii="黑体" w:eastAsia="黑体"/>
          <w:color w:val="000000"/>
          <w:sz w:val="32"/>
          <w:szCs w:val="32"/>
        </w:rPr>
      </w:pPr>
    </w:p>
    <w:p>
      <w:pPr>
        <w:pStyle w:val="22"/>
        <w:adjustRightInd w:val="0"/>
        <w:snapToGrid w:val="0"/>
        <w:spacing w:line="360" w:lineRule="auto"/>
        <w:jc w:val="center"/>
        <w:rPr>
          <w:rFonts w:ascii="华文中宋" w:hAnsi="华文中宋" w:eastAsia="华文中宋"/>
          <w:bCs/>
          <w:sz w:val="72"/>
          <w:szCs w:val="72"/>
        </w:rPr>
      </w:pPr>
      <w:r>
        <w:rPr>
          <w:rFonts w:hint="eastAsia" w:ascii="华文中宋" w:hAnsi="华文中宋" w:eastAsia="华文中宋"/>
          <w:bCs/>
          <w:sz w:val="72"/>
          <w:szCs w:val="72"/>
        </w:rPr>
        <w:t>采</w:t>
      </w:r>
      <w:r>
        <w:rPr>
          <w:rFonts w:hint="eastAsia" w:ascii="华文中宋" w:hAnsi="华文中宋" w:eastAsia="华文中宋"/>
          <w:bCs/>
          <w:sz w:val="72"/>
          <w:szCs w:val="72"/>
          <w:lang w:val="en-US" w:eastAsia="zh-CN"/>
        </w:rPr>
        <w:t xml:space="preserve">    </w:t>
      </w:r>
      <w:r>
        <w:rPr>
          <w:rFonts w:hint="eastAsia" w:ascii="华文中宋" w:hAnsi="华文中宋" w:eastAsia="华文中宋"/>
          <w:bCs/>
          <w:sz w:val="72"/>
          <w:szCs w:val="72"/>
        </w:rPr>
        <w:t>购</w:t>
      </w:r>
    </w:p>
    <w:p>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pPr>
        <w:pStyle w:val="4"/>
        <w:adjustRightInd w:val="0"/>
        <w:snapToGrid w:val="0"/>
        <w:jc w:val="center"/>
        <w:rPr>
          <w:rFonts w:ascii="黑体" w:hAnsi="黑体" w:eastAsia="黑体"/>
          <w:color w:val="000000"/>
          <w:sz w:val="44"/>
          <w:szCs w:val="44"/>
        </w:rPr>
      </w:pPr>
      <w:bookmarkStart w:id="122" w:name="_Toc20651253"/>
      <w:r>
        <w:rPr>
          <w:rFonts w:hint="eastAsia" w:ascii="黑体" w:hAnsi="黑体" w:eastAsia="黑体"/>
          <w:color w:val="000000"/>
          <w:sz w:val="44"/>
          <w:szCs w:val="44"/>
        </w:rPr>
        <w:t>第二部分 商务技术文件</w:t>
      </w:r>
      <w:bookmarkEnd w:id="122"/>
    </w:p>
    <w:p>
      <w:pPr>
        <w:adjustRightInd w:val="0"/>
        <w:snapToGrid w:val="0"/>
        <w:spacing w:line="360" w:lineRule="auto"/>
        <w:rPr>
          <w:rFonts w:asciiTheme="minorEastAsia" w:hAnsiTheme="minorEastAsia" w:eastAsiaTheme="minorEastAsia"/>
          <w:color w:val="000000"/>
          <w:sz w:val="32"/>
          <w:szCs w:val="32"/>
        </w:rPr>
      </w:pPr>
    </w:p>
    <w:p>
      <w:pPr>
        <w:pStyle w:val="22"/>
        <w:adjustRightInd w:val="0"/>
        <w:snapToGrid w:val="0"/>
        <w:spacing w:line="360" w:lineRule="auto"/>
        <w:ind w:firstLine="1988" w:firstLineChars="660"/>
        <w:rPr>
          <w:rFonts w:asciiTheme="minorEastAsia" w:hAnsiTheme="minorEastAsia" w:eastAsiaTheme="minorEastAsia"/>
          <w:b/>
          <w:bCs/>
          <w:sz w:val="30"/>
          <w:szCs w:val="30"/>
        </w:rPr>
      </w:pP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pPr>
        <w:pStyle w:val="22"/>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pPr>
        <w:adjustRightInd w:val="0"/>
        <w:snapToGrid w:val="0"/>
        <w:spacing w:line="360" w:lineRule="auto"/>
        <w:rPr>
          <w:rFonts w:asciiTheme="minorEastAsia" w:hAnsiTheme="minorEastAsia" w:eastAsiaTheme="minorEastAsia"/>
          <w:color w:val="000000"/>
          <w:sz w:val="30"/>
          <w:szCs w:val="30"/>
        </w:rPr>
      </w:pPr>
    </w:p>
    <w:p>
      <w:pPr>
        <w:adjustRightInd w:val="0"/>
        <w:snapToGrid w:val="0"/>
        <w:spacing w:line="360" w:lineRule="auto"/>
        <w:rPr>
          <w:rFonts w:asciiTheme="minorEastAsia" w:hAnsiTheme="minorEastAsia" w:eastAsiaTheme="minorEastAsia"/>
          <w:color w:val="000000"/>
          <w:sz w:val="30"/>
          <w:szCs w:val="30"/>
        </w:rPr>
      </w:pPr>
    </w:p>
    <w:p>
      <w:pPr>
        <w:adjustRightInd w:val="0"/>
        <w:snapToGrid w:val="0"/>
        <w:spacing w:line="360" w:lineRule="auto"/>
        <w:rPr>
          <w:rFonts w:asciiTheme="minorEastAsia" w:hAnsiTheme="minorEastAsia" w:eastAsiaTheme="minorEastAsia"/>
          <w:color w:val="000000"/>
          <w:sz w:val="30"/>
          <w:szCs w:val="30"/>
        </w:rPr>
      </w:pPr>
    </w:p>
    <w:p>
      <w:pPr>
        <w:adjustRightInd w:val="0"/>
        <w:snapToGrid w:val="0"/>
        <w:spacing w:line="360" w:lineRule="auto"/>
        <w:rPr>
          <w:rFonts w:asciiTheme="minorEastAsia" w:hAnsiTheme="minorEastAsia" w:eastAsiaTheme="minorEastAsia"/>
          <w:color w:val="000000"/>
          <w:sz w:val="30"/>
          <w:szCs w:val="30"/>
        </w:rPr>
      </w:pPr>
    </w:p>
    <w:p>
      <w:pPr>
        <w:adjustRightInd w:val="0"/>
        <w:snapToGrid w:val="0"/>
        <w:spacing w:line="360" w:lineRule="auto"/>
        <w:ind w:left="1273" w:leftChars="606" w:firstLine="2"/>
        <w:rPr>
          <w:rFonts w:asciiTheme="minorEastAsia" w:hAnsiTheme="minorEastAsia" w:eastAsiaTheme="minorEastAsia"/>
          <w:color w:val="000000"/>
          <w:sz w:val="32"/>
          <w:szCs w:val="32"/>
          <w:u w:val="single"/>
        </w:rPr>
      </w:pPr>
      <w:r>
        <w:rPr>
          <w:rFonts w:hint="eastAsia" w:asciiTheme="minorEastAsia" w:hAnsiTheme="minorEastAsia" w:eastAsiaTheme="minorEastAsia"/>
          <w:color w:val="000000"/>
          <w:sz w:val="32"/>
          <w:szCs w:val="32"/>
        </w:rPr>
        <w:t>投标人</w:t>
      </w:r>
      <w:r>
        <w:rPr>
          <w:rFonts w:hint="eastAsia" w:asciiTheme="minorEastAsia" w:hAnsiTheme="minorEastAsia" w:eastAsiaTheme="minorEastAsia"/>
          <w:color w:val="000000"/>
          <w:sz w:val="32"/>
          <w:szCs w:val="32"/>
          <w:u w:val="single"/>
        </w:rPr>
        <w:t xml:space="preserve">                         </w:t>
      </w:r>
    </w:p>
    <w:p>
      <w:pPr>
        <w:adjustRightInd w:val="0"/>
        <w:snapToGrid w:val="0"/>
        <w:spacing w:line="360" w:lineRule="auto"/>
        <w:jc w:val="center"/>
        <w:rPr>
          <w:rFonts w:asciiTheme="minorEastAsia" w:hAnsiTheme="minorEastAsia" w:eastAsiaTheme="minorEastAsia"/>
          <w:color w:val="000000"/>
          <w:sz w:val="32"/>
          <w:szCs w:val="32"/>
        </w:rPr>
      </w:pPr>
      <w:r>
        <w:rPr>
          <w:rFonts w:hint="eastAsia" w:asciiTheme="minorEastAsia" w:hAnsiTheme="minorEastAsia" w:eastAsiaTheme="minorEastAsia"/>
          <w:color w:val="000000"/>
          <w:sz w:val="32"/>
          <w:szCs w:val="32"/>
        </w:rPr>
        <w:t>年  月  日</w:t>
      </w:r>
    </w:p>
    <w:p>
      <w:pPr>
        <w:pStyle w:val="6"/>
        <w:adjustRightInd w:val="0"/>
        <w:spacing w:before="156" w:beforeLines="50" w:after="0" w:line="360" w:lineRule="auto"/>
        <w:jc w:val="left"/>
        <w:rPr>
          <w:rFonts w:ascii="黑体" w:hAnsi="黑体"/>
          <w:b w:val="0"/>
          <w:color w:val="000000"/>
          <w:sz w:val="21"/>
          <w:szCs w:val="21"/>
        </w:rPr>
      </w:pPr>
      <w:r>
        <w:rPr>
          <w:rFonts w:asciiTheme="minorEastAsia" w:hAnsiTheme="minorEastAsia" w:eastAsiaTheme="minorEastAsia"/>
          <w:color w:val="000000"/>
          <w:u w:val="single"/>
        </w:rPr>
        <w:br w:type="page"/>
      </w:r>
      <w:bookmarkStart w:id="123" w:name="_Toc20651254"/>
      <w:r>
        <w:rPr>
          <w:rFonts w:hint="eastAsia" w:ascii="黑体" w:hAnsi="黑体"/>
          <w:b w:val="0"/>
          <w:color w:val="000000"/>
          <w:sz w:val="21"/>
          <w:szCs w:val="21"/>
        </w:rPr>
        <w:t>索引表2 符合性审查索引表</w:t>
      </w:r>
      <w:bookmarkEnd w:id="123"/>
    </w:p>
    <w:p>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1871" w:type="dxa"/>
            <w:tcBorders>
              <w:righ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 w:val="20"/>
                <w:szCs w:val="21"/>
              </w:rPr>
              <w:t>招标文件条款号</w:t>
            </w:r>
          </w:p>
        </w:tc>
        <w:tc>
          <w:tcPr>
            <w:tcW w:w="2410" w:type="dxa"/>
            <w:tcBorders>
              <w:lef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审查内容及标准</w:t>
            </w:r>
          </w:p>
        </w:tc>
        <w:tc>
          <w:tcPr>
            <w:tcW w:w="2268"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投标响应及证明材料</w:t>
            </w:r>
          </w:p>
        </w:tc>
        <w:tc>
          <w:tcPr>
            <w:tcW w:w="1722" w:type="dxa"/>
            <w:vAlign w:val="center"/>
          </w:tcPr>
          <w:p>
            <w:pPr>
              <w:adjustRightInd w:val="0"/>
              <w:snapToGrid w:val="0"/>
              <w:spacing w:before="156" w:beforeLines="50"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投标文件对应内容的册及页码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87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410"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2268"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 w:val="20"/>
                <w:szCs w:val="21"/>
              </w:rPr>
            </w:pPr>
          </w:p>
        </w:tc>
      </w:tr>
    </w:tbl>
    <w:p/>
    <w:p>
      <w:pPr>
        <w:widowControl/>
        <w:jc w:val="left"/>
        <w:rPr>
          <w:rFonts w:ascii="Arial" w:hAnsi="Arial" w:eastAsia="黑体"/>
          <w:b/>
          <w:bCs/>
          <w:sz w:val="28"/>
          <w:szCs w:val="28"/>
        </w:rPr>
      </w:pPr>
      <w:r>
        <w:br w:type="page"/>
      </w:r>
    </w:p>
    <w:p>
      <w:pPr>
        <w:pStyle w:val="6"/>
        <w:adjustRightInd w:val="0"/>
        <w:snapToGrid w:val="0"/>
        <w:spacing w:before="156" w:beforeLines="50" w:after="0" w:line="360" w:lineRule="auto"/>
        <w:jc w:val="left"/>
        <w:rPr>
          <w:rFonts w:ascii="黑体" w:hAnsi="黑体"/>
          <w:b w:val="0"/>
          <w:sz w:val="21"/>
          <w:szCs w:val="21"/>
        </w:rPr>
      </w:pPr>
      <w:bookmarkStart w:id="124" w:name="_Toc20651255"/>
      <w:r>
        <w:rPr>
          <w:rFonts w:hint="eastAsia" w:ascii="黑体" w:hAnsi="黑体"/>
          <w:b w:val="0"/>
          <w:color w:val="000000"/>
          <w:sz w:val="21"/>
          <w:szCs w:val="21"/>
        </w:rPr>
        <w:t xml:space="preserve">索引表3 </w:t>
      </w:r>
      <w:r>
        <w:rPr>
          <w:rFonts w:hint="eastAsia" w:ascii="黑体" w:hAnsi="黑体"/>
          <w:b w:val="0"/>
          <w:sz w:val="21"/>
          <w:szCs w:val="21"/>
        </w:rPr>
        <w:t>评标索引表</w:t>
      </w:r>
      <w:bookmarkEnd w:id="124"/>
    </w:p>
    <w:p>
      <w:pPr>
        <w:adjustRightInd w:val="0"/>
        <w:snapToGrid w:val="0"/>
        <w:spacing w:before="156" w:beforeLines="50" w:line="360" w:lineRule="auto"/>
        <w:jc w:val="center"/>
        <w:rPr>
          <w:rFonts w:ascii="黑体" w:hAnsi="黑体" w:eastAsia="黑体"/>
          <w:b/>
          <w:sz w:val="28"/>
          <w:szCs w:val="28"/>
        </w:rPr>
      </w:pPr>
      <w:r>
        <w:rPr>
          <w:rFonts w:hint="eastAsia" w:ascii="黑体" w:hAnsi="黑体" w:eastAsia="黑体"/>
          <w:b/>
          <w:sz w:val="28"/>
          <w:szCs w:val="28"/>
        </w:rPr>
        <w:t>评标索引表</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1701" w:type="dxa"/>
            <w:tcBorders>
              <w:righ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 w:val="20"/>
                <w:szCs w:val="21"/>
              </w:rPr>
              <w:t>招标文件</w:t>
            </w:r>
            <w:r>
              <w:rPr>
                <w:rFonts w:hint="eastAsia" w:asciiTheme="minorEastAsia" w:hAnsiTheme="minorEastAsia" w:eastAsiaTheme="minorEastAsia"/>
                <w:b/>
                <w:kern w:val="0"/>
                <w:szCs w:val="21"/>
              </w:rPr>
              <w:t>条款号</w:t>
            </w:r>
          </w:p>
        </w:tc>
        <w:tc>
          <w:tcPr>
            <w:tcW w:w="1134" w:type="dxa"/>
            <w:tcBorders>
              <w:left w:val="single" w:color="auto" w:sz="4" w:space="0"/>
              <w:righ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评审因素</w:t>
            </w:r>
          </w:p>
        </w:tc>
        <w:tc>
          <w:tcPr>
            <w:tcW w:w="1418" w:type="dxa"/>
            <w:tcBorders>
              <w:left w:val="single" w:color="auto" w:sz="4" w:space="0"/>
            </w:tcBorders>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评标标准</w:t>
            </w:r>
          </w:p>
        </w:tc>
        <w:tc>
          <w:tcPr>
            <w:tcW w:w="2410"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投标响应及证明材料</w:t>
            </w:r>
          </w:p>
        </w:tc>
        <w:tc>
          <w:tcPr>
            <w:tcW w:w="1722" w:type="dxa"/>
            <w:vAlign w:val="center"/>
          </w:tcPr>
          <w:p>
            <w:pPr>
              <w:adjustRightInd w:val="0"/>
              <w:snapToGrid w:val="0"/>
              <w:spacing w:before="156" w:beforeLines="5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投标文件对应内容的册及页码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01" w:type="dxa"/>
            <w:tcBorders>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134" w:type="dxa"/>
            <w:tcBorders>
              <w:left w:val="single" w:color="auto" w:sz="4" w:space="0"/>
              <w:righ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1418" w:type="dxa"/>
            <w:tcBorders>
              <w:left w:val="single" w:color="auto" w:sz="4" w:space="0"/>
            </w:tcBorders>
          </w:tcPr>
          <w:p>
            <w:pPr>
              <w:adjustRightInd w:val="0"/>
              <w:snapToGrid w:val="0"/>
              <w:spacing w:before="156" w:beforeLines="50" w:line="360" w:lineRule="auto"/>
              <w:jc w:val="center"/>
              <w:rPr>
                <w:rFonts w:asciiTheme="minorEastAsia" w:hAnsiTheme="minorEastAsia" w:eastAsiaTheme="minorEastAsia"/>
                <w:kern w:val="0"/>
                <w:szCs w:val="21"/>
              </w:rPr>
            </w:pPr>
          </w:p>
        </w:tc>
        <w:tc>
          <w:tcPr>
            <w:tcW w:w="2410" w:type="dxa"/>
          </w:tcPr>
          <w:p>
            <w:pPr>
              <w:adjustRightInd w:val="0"/>
              <w:snapToGrid w:val="0"/>
              <w:spacing w:before="156" w:beforeLines="50" w:line="360" w:lineRule="auto"/>
              <w:jc w:val="center"/>
              <w:rPr>
                <w:rFonts w:asciiTheme="minorEastAsia" w:hAnsiTheme="minorEastAsia" w:eastAsiaTheme="minorEastAsia"/>
                <w:kern w:val="0"/>
                <w:szCs w:val="21"/>
              </w:rPr>
            </w:pPr>
          </w:p>
        </w:tc>
        <w:tc>
          <w:tcPr>
            <w:tcW w:w="1722" w:type="dxa"/>
          </w:tcPr>
          <w:p>
            <w:pPr>
              <w:adjustRightInd w:val="0"/>
              <w:snapToGrid w:val="0"/>
              <w:spacing w:before="156" w:beforeLines="50" w:line="360" w:lineRule="auto"/>
              <w:jc w:val="center"/>
              <w:rPr>
                <w:rFonts w:asciiTheme="minorEastAsia" w:hAnsiTheme="minorEastAsia" w:eastAsiaTheme="minorEastAsia"/>
                <w:kern w:val="0"/>
                <w:szCs w:val="21"/>
              </w:rPr>
            </w:pPr>
          </w:p>
        </w:tc>
      </w:tr>
    </w:tbl>
    <w:p/>
    <w:p>
      <w:pPr>
        <w:widowControl/>
        <w:jc w:val="left"/>
        <w:rPr>
          <w:rFonts w:ascii="黑体" w:hAnsi="宋体" w:eastAsia="黑体"/>
          <w:b/>
          <w:bCs/>
          <w:sz w:val="28"/>
          <w:szCs w:val="28"/>
        </w:rPr>
      </w:pPr>
      <w:r>
        <w:rPr>
          <w:rFonts w:ascii="黑体" w:hAnsi="宋体" w:eastAsia="黑体"/>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25" w:name="_Toc20651256"/>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125"/>
    </w:p>
    <w:p>
      <w:pPr>
        <w:adjustRightInd w:val="0"/>
        <w:snapToGrid w:val="0"/>
        <w:spacing w:before="156"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（采购人、采购代理机构）：</w:t>
      </w:r>
    </w:p>
    <w:p>
      <w:pPr>
        <w:adjustRightInd w:val="0"/>
        <w:snapToGrid w:val="0"/>
        <w:spacing w:before="156" w:beforeLines="50" w:line="360" w:lineRule="auto"/>
        <w:ind w:firstLine="435"/>
        <w:rPr>
          <w:rFonts w:asciiTheme="minorEastAsia" w:hAnsiTheme="minorEastAsia" w:eastAsiaTheme="minorEastAsia"/>
          <w:szCs w:val="21"/>
        </w:rPr>
      </w:pPr>
      <w:r>
        <w:rPr>
          <w:rFonts w:hint="eastAsia" w:asciiTheme="minorEastAsia" w:hAnsiTheme="minorEastAsia" w:eastAsiaTheme="minorEastAsia"/>
          <w:szCs w:val="21"/>
        </w:rPr>
        <w:t>根据贵方为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（项目名称）的投标邀请（采购代理编号：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），签字代表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（姓名、职务）经正式授权并代表投标人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（投标人名称）提交下述投标文件正本一份,副本</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份；投标文件电子文档：一份，参加采购项目第</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包投标，并在此声明，所递交的投标文件内容完整、真实。</w:t>
      </w:r>
    </w:p>
    <w:p>
      <w:pPr>
        <w:adjustRightInd w:val="0"/>
        <w:snapToGrid w:val="0"/>
        <w:spacing w:before="156"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一、开标一览表</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二、投标保证金</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三、法定代表人（单位负责人）身份证明或授权委托书</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四、投标人提供的资格证明文件</w:t>
      </w:r>
    </w:p>
    <w:p>
      <w:pPr>
        <w:adjustRightInd w:val="0"/>
        <w:snapToGrid w:val="0"/>
        <w:spacing w:before="156"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第二部分 商务技术文件</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五、投标函</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六、分项报价</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七、采购需求响应</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八、合同条款偏离表</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九、采购需求偏离表</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十、享受采购政策优惠的证明资料</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十一、投标货物符合招标文件规定的证明文件</w:t>
      </w:r>
    </w:p>
    <w:p>
      <w:pPr>
        <w:adjustRightInd w:val="0"/>
        <w:snapToGrid w:val="0"/>
        <w:spacing w:before="156"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十二、投标人认为需提供的其他资料</w:t>
      </w:r>
    </w:p>
    <w:p>
      <w:pPr>
        <w:adjustRightInd w:val="0"/>
        <w:snapToGrid w:val="0"/>
        <w:spacing w:before="156" w:beforeLines="50" w:line="360" w:lineRule="auto"/>
        <w:ind w:firstLine="630" w:firstLineChars="300"/>
        <w:rPr>
          <w:rFonts w:asciiTheme="minorEastAsia" w:hAnsiTheme="minorEastAsia" w:eastAsiaTheme="minorEastAsia"/>
          <w:color w:val="000000"/>
          <w:szCs w:val="21"/>
        </w:rPr>
      </w:pPr>
      <w:r>
        <w:rPr>
          <w:rFonts w:hint="eastAsia" w:asciiTheme="minorEastAsia" w:hAnsiTheme="minorEastAsia" w:eastAsiaTheme="minorEastAsia"/>
          <w:szCs w:val="21"/>
        </w:rPr>
        <w:t>十三、</w:t>
      </w:r>
      <w:r>
        <w:rPr>
          <w:rFonts w:hint="eastAsia" w:asciiTheme="minorEastAsia" w:hAnsiTheme="minorEastAsia" w:eastAsiaTheme="minorEastAsia"/>
          <w:color w:val="000000"/>
          <w:szCs w:val="21"/>
        </w:rPr>
        <w:t>中标服务费承诺书</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在此，签字代表宣布同意如下：</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1、投标人严格按照招标文件的规定报价，见《开标一览表》。</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2、投标人将按招标文件的规定履行合同责任和义务。</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3、投标人已详细审查招标文件。我们完全理解并同意放弃对这方面有不明及误解的权力。</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szCs w:val="21"/>
        </w:rPr>
        <w:t>4、本投标有效期为自招标文件规定的提交投标文件截止之日起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个日历日。在投标有效期内，</w:t>
      </w:r>
      <w:r>
        <w:rPr>
          <w:rFonts w:hint="eastAsia" w:asciiTheme="minorEastAsia" w:hAnsiTheme="minorEastAsia" w:eastAsiaTheme="minorEastAsia"/>
        </w:rPr>
        <w:t>投标人同意遵守本</w:t>
      </w:r>
      <w:r>
        <w:rPr>
          <w:rFonts w:hint="eastAsia" w:asciiTheme="minorEastAsia" w:hAnsiTheme="minorEastAsia" w:eastAsiaTheme="minorEastAsia"/>
          <w:szCs w:val="21"/>
        </w:rPr>
        <w:t>投标</w:t>
      </w:r>
      <w:r>
        <w:rPr>
          <w:rFonts w:hint="eastAsia" w:asciiTheme="minorEastAsia" w:hAnsiTheme="minorEastAsia" w:eastAsiaTheme="minorEastAsia"/>
        </w:rPr>
        <w:t>文件中的承诺且在此期限期满之前</w:t>
      </w:r>
      <w:r>
        <w:rPr>
          <w:rFonts w:hint="eastAsia" w:asciiTheme="minorEastAsia" w:hAnsiTheme="minorEastAsia" w:eastAsiaTheme="minorEastAsia"/>
          <w:szCs w:val="21"/>
        </w:rPr>
        <w:t>投标</w:t>
      </w:r>
      <w:r>
        <w:rPr>
          <w:rFonts w:hint="eastAsia" w:asciiTheme="minorEastAsia" w:hAnsiTheme="minorEastAsia" w:eastAsiaTheme="minorEastAsia"/>
        </w:rPr>
        <w:t>文件</w:t>
      </w:r>
      <w:r>
        <w:rPr>
          <w:rFonts w:hint="eastAsia" w:asciiTheme="minorEastAsia" w:hAnsiTheme="minorEastAsia" w:eastAsiaTheme="minorEastAsia"/>
          <w:szCs w:val="21"/>
        </w:rPr>
        <w:t>对我方具有法律约束力</w:t>
      </w:r>
      <w:r>
        <w:rPr>
          <w:rFonts w:hint="eastAsia" w:asciiTheme="minorEastAsia" w:hAnsiTheme="minorEastAsia" w:eastAsiaTheme="minorEastAsia"/>
        </w:rPr>
        <w:t>。</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szCs w:val="21"/>
        </w:rPr>
        <w:t>同意提供贵方可能要求的与其投标有关的一切数据或资料。</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6、与本投标有关的一切正式往来信函请寄：</w:t>
      </w:r>
    </w:p>
    <w:p>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地址：</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；邮编：</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；电话：</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；电子邮箱：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pPr>
        <w:adjustRightInd w:val="0"/>
        <w:snapToGrid w:val="0"/>
        <w:spacing w:before="156" w:beforeLines="50" w:line="360" w:lineRule="auto"/>
        <w:ind w:firstLine="420" w:firstLineChars="200"/>
        <w:rPr>
          <w:rFonts w:asciiTheme="minorEastAsia" w:hAnsiTheme="minorEastAsia" w:eastAsiaTheme="minorEastAsia"/>
          <w:szCs w:val="21"/>
        </w:rPr>
      </w:pPr>
    </w:p>
    <w:p>
      <w:pPr>
        <w:pStyle w:val="22"/>
        <w:adjustRightInd w:val="0"/>
        <w:snapToGrid w:val="0"/>
        <w:spacing w:before="156" w:beforeLines="50" w:line="360" w:lineRule="auto"/>
        <w:rPr>
          <w:rFonts w:asciiTheme="minorEastAsia" w:hAnsiTheme="minorEastAsia" w:eastAsiaTheme="minorEastAsia"/>
        </w:rPr>
      </w:pPr>
    </w:p>
    <w:p>
      <w:pPr>
        <w:pStyle w:val="22"/>
        <w:adjustRightInd w:val="0"/>
        <w:snapToGrid w:val="0"/>
        <w:spacing w:before="156" w:beforeLines="50" w:line="360" w:lineRule="auto"/>
        <w:rPr>
          <w:rFonts w:asciiTheme="minorEastAsia" w:hAnsiTheme="minorEastAsia" w:eastAsiaTheme="minorEastAsia"/>
        </w:rPr>
      </w:pPr>
      <w:r>
        <w:rPr>
          <w:rFonts w:hint="eastAsia" w:asciiTheme="minorEastAsia" w:hAnsiTheme="minorEastAsia" w:eastAsiaTheme="minorEastAsia"/>
        </w:rPr>
        <w:t xml:space="preserve">投标人名称（盖单位章）：                       </w:t>
      </w:r>
    </w:p>
    <w:p>
      <w:pPr>
        <w:adjustRightInd w:val="0"/>
        <w:snapToGrid w:val="0"/>
        <w:spacing w:before="156" w:beforeLines="50" w:line="360" w:lineRule="auto"/>
        <w:rPr>
          <w:rFonts w:asciiTheme="minorEastAsia" w:hAnsiTheme="minorEastAsia" w:eastAsiaTheme="minorEastAsia"/>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或其授权的代理人（签字或印章）：</w:t>
      </w:r>
      <w:r>
        <w:rPr>
          <w:rFonts w:hint="eastAsia" w:asciiTheme="minorEastAsia" w:hAnsiTheme="minorEastAsia" w:eastAsiaTheme="minorEastAsia"/>
          <w:szCs w:val="21"/>
          <w:u w:val="single"/>
        </w:rPr>
        <w:t xml:space="preserve">               </w:t>
      </w:r>
    </w:p>
    <w:p>
      <w:pPr>
        <w:adjustRightInd w:val="0"/>
        <w:snapToGrid w:val="0"/>
        <w:spacing w:before="156" w:beforeLines="50" w:line="360" w:lineRule="auto"/>
        <w:rPr>
          <w:rFonts w:ascii="黑体" w:hAnsi="宋体" w:eastAsia="黑体"/>
          <w:b/>
          <w:bCs/>
          <w:sz w:val="28"/>
          <w:szCs w:val="28"/>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ascii="黑体" w:hAnsi="宋体" w:eastAsia="黑体"/>
          <w:b/>
          <w:bCs/>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26" w:name="_Toc20651257"/>
      <w:r>
        <w:rPr>
          <w:rFonts w:hint="eastAsia" w:ascii="黑体" w:hAnsi="宋体" w:eastAsia="黑体"/>
          <w:sz w:val="28"/>
          <w:szCs w:val="28"/>
        </w:rPr>
        <w:t>六、分项报价</w:t>
      </w:r>
      <w:bookmarkEnd w:id="126"/>
    </w:p>
    <w:p>
      <w:pPr>
        <w:pStyle w:val="6"/>
        <w:jc w:val="left"/>
        <w:rPr>
          <w:rFonts w:ascii="黑体" w:cs="微软雅黑" w:hAnsiTheme="minorEastAsia"/>
          <w:b w:val="0"/>
          <w:kern w:val="0"/>
          <w:sz w:val="21"/>
          <w:szCs w:val="21"/>
        </w:rPr>
      </w:pPr>
      <w:bookmarkStart w:id="127" w:name="_Toc20651258"/>
      <w:r>
        <w:rPr>
          <w:rFonts w:hint="eastAsia" w:ascii="黑体" w:hAnsi="华文中宋" w:cs="宋体"/>
          <w:b w:val="0"/>
          <w:bCs w:val="0"/>
          <w:spacing w:val="6"/>
          <w:kern w:val="0"/>
          <w:sz w:val="21"/>
          <w:szCs w:val="21"/>
        </w:rPr>
        <w:t xml:space="preserve">附件6-1 </w:t>
      </w:r>
      <w:r>
        <w:rPr>
          <w:rFonts w:hint="eastAsia" w:ascii="黑体" w:cs="微软雅黑" w:hAnsiTheme="minorEastAsia"/>
          <w:b w:val="0"/>
          <w:spacing w:val="-2"/>
          <w:kern w:val="0"/>
          <w:sz w:val="21"/>
          <w:szCs w:val="21"/>
        </w:rPr>
        <w:t>分</w:t>
      </w:r>
      <w:r>
        <w:rPr>
          <w:rFonts w:hint="eastAsia" w:ascii="黑体" w:cs="微软雅黑" w:hAnsiTheme="minorEastAsia"/>
          <w:b w:val="0"/>
          <w:kern w:val="0"/>
          <w:sz w:val="21"/>
          <w:szCs w:val="21"/>
        </w:rPr>
        <w:t>项</w:t>
      </w:r>
      <w:r>
        <w:rPr>
          <w:rFonts w:hint="eastAsia" w:ascii="黑体" w:cs="微软雅黑" w:hAnsiTheme="minorEastAsia"/>
          <w:b w:val="0"/>
          <w:spacing w:val="-2"/>
          <w:kern w:val="0"/>
          <w:sz w:val="21"/>
          <w:szCs w:val="21"/>
        </w:rPr>
        <w:t>报</w:t>
      </w:r>
      <w:r>
        <w:rPr>
          <w:rFonts w:hint="eastAsia" w:ascii="黑体" w:cs="微软雅黑" w:hAnsiTheme="minorEastAsia"/>
          <w:b w:val="0"/>
          <w:kern w:val="0"/>
          <w:sz w:val="21"/>
          <w:szCs w:val="21"/>
        </w:rPr>
        <w:t>价说明</w:t>
      </w:r>
      <w:bookmarkEnd w:id="127"/>
      <w:r>
        <w:rPr>
          <w:rFonts w:hint="eastAsia" w:ascii="黑体" w:cs="微软雅黑" w:hAnsiTheme="minorEastAsia"/>
          <w:b w:val="0"/>
          <w:kern w:val="0"/>
          <w:sz w:val="21"/>
          <w:szCs w:val="21"/>
        </w:rPr>
        <w:t xml:space="preserve">  </w:t>
      </w:r>
    </w:p>
    <w:p>
      <w:pPr>
        <w:autoSpaceDE w:val="0"/>
        <w:autoSpaceDN w:val="0"/>
        <w:adjustRightInd w:val="0"/>
        <w:snapToGrid w:val="0"/>
        <w:spacing w:line="360" w:lineRule="auto"/>
        <w:jc w:val="center"/>
        <w:rPr>
          <w:rFonts w:ascii="黑体" w:eastAsia="黑体" w:cs="微软雅黑" w:hAnsiTheme="minorEastAsia"/>
          <w:b/>
          <w:kern w:val="0"/>
          <w:sz w:val="28"/>
          <w:szCs w:val="28"/>
        </w:rPr>
      </w:pPr>
      <w:r>
        <w:rPr>
          <w:rFonts w:hint="eastAsia" w:ascii="黑体" w:eastAsia="黑体" w:cs="微软雅黑" w:hAnsiTheme="minorEastAsia"/>
          <w:b/>
          <w:spacing w:val="-2"/>
          <w:kern w:val="0"/>
          <w:sz w:val="28"/>
          <w:szCs w:val="28"/>
        </w:rPr>
        <w:t>分</w:t>
      </w:r>
      <w:r>
        <w:rPr>
          <w:rFonts w:hint="eastAsia" w:ascii="黑体" w:eastAsia="黑体" w:cs="微软雅黑" w:hAnsiTheme="minorEastAsia"/>
          <w:b/>
          <w:kern w:val="0"/>
          <w:sz w:val="28"/>
          <w:szCs w:val="28"/>
        </w:rPr>
        <w:t>项</w:t>
      </w:r>
      <w:r>
        <w:rPr>
          <w:rFonts w:hint="eastAsia" w:ascii="黑体" w:eastAsia="黑体" w:cs="微软雅黑" w:hAnsiTheme="minorEastAsia"/>
          <w:b/>
          <w:spacing w:val="-2"/>
          <w:kern w:val="0"/>
          <w:sz w:val="28"/>
          <w:szCs w:val="28"/>
        </w:rPr>
        <w:t>报</w:t>
      </w:r>
      <w:r>
        <w:rPr>
          <w:rFonts w:hint="eastAsia" w:ascii="黑体" w:eastAsia="黑体" w:cs="微软雅黑" w:hAnsiTheme="minorEastAsia"/>
          <w:b/>
          <w:kern w:val="0"/>
          <w:sz w:val="28"/>
          <w:szCs w:val="28"/>
        </w:rPr>
        <w:t>价说明</w:t>
      </w:r>
    </w:p>
    <w:p>
      <w:pPr>
        <w:autoSpaceDE w:val="0"/>
        <w:autoSpaceDN w:val="0"/>
        <w:adjustRightInd w:val="0"/>
        <w:snapToGrid w:val="0"/>
        <w:spacing w:line="360" w:lineRule="auto"/>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备注：投标人应按招标文件第二章相关要求，对本节</w:t>
      </w:r>
      <w:r>
        <w:rPr>
          <w:rFonts w:hint="eastAsia" w:asciiTheme="minorEastAsia" w:hAnsiTheme="minorEastAsia" w:eastAsiaTheme="minorEastAsia"/>
          <w:bCs/>
          <w:szCs w:val="21"/>
        </w:rPr>
        <w:t>“</w:t>
      </w:r>
      <w:r>
        <w:rPr>
          <w:rFonts w:hint="eastAsia" w:cs="微软雅黑" w:asciiTheme="minorEastAsia" w:hAnsiTheme="minorEastAsia" w:eastAsiaTheme="minorEastAsia"/>
          <w:kern w:val="0"/>
          <w:szCs w:val="21"/>
        </w:rPr>
        <w:t>分项报价明细表</w:t>
      </w:r>
      <w:r>
        <w:rPr>
          <w:rFonts w:hint="eastAsia" w:asciiTheme="minorEastAsia" w:hAnsiTheme="minorEastAsia" w:eastAsiaTheme="minorEastAsia"/>
          <w:bCs/>
          <w:szCs w:val="21"/>
        </w:rPr>
        <w:t>”进行</w:t>
      </w:r>
      <w:r>
        <w:rPr>
          <w:rFonts w:hint="eastAsia" w:cs="微软雅黑" w:asciiTheme="minorEastAsia" w:hAnsiTheme="minorEastAsia" w:eastAsiaTheme="minorEastAsia"/>
          <w:kern w:val="0"/>
          <w:szCs w:val="21"/>
        </w:rPr>
        <w:t>编制，并说明。</w:t>
      </w:r>
    </w:p>
    <w:p/>
    <w:p>
      <w:pPr>
        <w:pStyle w:val="6"/>
        <w:jc w:val="left"/>
        <w:rPr>
          <w:rFonts w:ascii="黑体" w:cs="微软雅黑" w:hAnsiTheme="minorEastAsia"/>
          <w:b w:val="0"/>
          <w:kern w:val="0"/>
          <w:sz w:val="21"/>
          <w:szCs w:val="21"/>
        </w:rPr>
      </w:pPr>
      <w:bookmarkStart w:id="128" w:name="_Toc20651259"/>
      <w:r>
        <w:rPr>
          <w:rFonts w:hint="eastAsia" w:ascii="黑体" w:hAnsi="华文中宋" w:cs="宋体"/>
          <w:b w:val="0"/>
          <w:bCs w:val="0"/>
          <w:spacing w:val="6"/>
          <w:kern w:val="0"/>
          <w:sz w:val="21"/>
          <w:szCs w:val="21"/>
        </w:rPr>
        <w:t xml:space="preserve">附件6-2 </w:t>
      </w:r>
      <w:r>
        <w:rPr>
          <w:rFonts w:hint="eastAsia" w:ascii="黑体" w:cs="微软雅黑" w:hAnsiTheme="minorEastAsia"/>
          <w:b w:val="0"/>
          <w:spacing w:val="-2"/>
          <w:kern w:val="0"/>
          <w:position w:val="-3"/>
          <w:sz w:val="21"/>
          <w:szCs w:val="21"/>
        </w:rPr>
        <w:t>分</w:t>
      </w:r>
      <w:r>
        <w:rPr>
          <w:rFonts w:hint="eastAsia" w:ascii="黑体" w:cs="微软雅黑" w:hAnsiTheme="minorEastAsia"/>
          <w:b w:val="0"/>
          <w:kern w:val="0"/>
          <w:position w:val="-3"/>
          <w:sz w:val="21"/>
          <w:szCs w:val="21"/>
        </w:rPr>
        <w:t>项</w:t>
      </w:r>
      <w:r>
        <w:rPr>
          <w:rFonts w:hint="eastAsia" w:ascii="黑体" w:cs="微软雅黑" w:hAnsiTheme="minorEastAsia"/>
          <w:b w:val="0"/>
          <w:spacing w:val="-2"/>
          <w:kern w:val="0"/>
          <w:position w:val="-3"/>
          <w:sz w:val="21"/>
          <w:szCs w:val="21"/>
        </w:rPr>
        <w:t>报</w:t>
      </w:r>
      <w:r>
        <w:rPr>
          <w:rFonts w:hint="eastAsia" w:ascii="黑体" w:cs="微软雅黑" w:hAnsiTheme="minorEastAsia"/>
          <w:b w:val="0"/>
          <w:kern w:val="0"/>
          <w:position w:val="-3"/>
          <w:sz w:val="21"/>
          <w:szCs w:val="21"/>
        </w:rPr>
        <w:t>价明细表</w:t>
      </w:r>
      <w:bookmarkEnd w:id="128"/>
    </w:p>
    <w:p>
      <w:pPr>
        <w:adjustRightInd w:val="0"/>
        <w:snapToGrid w:val="0"/>
        <w:spacing w:line="360" w:lineRule="auto"/>
        <w:jc w:val="center"/>
        <w:rPr>
          <w:rFonts w:ascii="黑体" w:eastAsia="黑体" w:cs="微软雅黑" w:hAnsiTheme="minorEastAsia"/>
          <w:b/>
          <w:kern w:val="0"/>
          <w:position w:val="-3"/>
          <w:sz w:val="28"/>
          <w:szCs w:val="28"/>
        </w:rPr>
      </w:pPr>
      <w:r>
        <w:rPr>
          <w:rFonts w:hint="eastAsia" w:ascii="黑体" w:eastAsia="黑体" w:cs="微软雅黑" w:hAnsiTheme="minorEastAsia"/>
          <w:b/>
          <w:spacing w:val="-2"/>
          <w:kern w:val="0"/>
          <w:position w:val="-3"/>
          <w:sz w:val="28"/>
          <w:szCs w:val="28"/>
        </w:rPr>
        <w:t>分</w:t>
      </w:r>
      <w:r>
        <w:rPr>
          <w:rFonts w:hint="eastAsia" w:ascii="黑体" w:eastAsia="黑体" w:cs="微软雅黑" w:hAnsiTheme="minorEastAsia"/>
          <w:b/>
          <w:kern w:val="0"/>
          <w:position w:val="-3"/>
          <w:sz w:val="28"/>
          <w:szCs w:val="28"/>
        </w:rPr>
        <w:t>项</w:t>
      </w:r>
      <w:r>
        <w:rPr>
          <w:rFonts w:hint="eastAsia" w:ascii="黑体" w:eastAsia="黑体" w:cs="微软雅黑" w:hAnsiTheme="minorEastAsia"/>
          <w:b/>
          <w:spacing w:val="-2"/>
          <w:kern w:val="0"/>
          <w:position w:val="-3"/>
          <w:sz w:val="28"/>
          <w:szCs w:val="28"/>
        </w:rPr>
        <w:t>报</w:t>
      </w:r>
      <w:r>
        <w:rPr>
          <w:rFonts w:hint="eastAsia" w:ascii="黑体" w:eastAsia="黑体" w:cs="微软雅黑" w:hAnsiTheme="minorEastAsia"/>
          <w:b/>
          <w:kern w:val="0"/>
          <w:position w:val="-3"/>
          <w:sz w:val="28"/>
          <w:szCs w:val="28"/>
        </w:rPr>
        <w:t>价明细表</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pPr>
              <w:autoSpaceDE w:val="0"/>
              <w:autoSpaceDN w:val="0"/>
              <w:adjustRightInd w:val="0"/>
              <w:snapToGrid w:val="0"/>
              <w:spacing w:line="360" w:lineRule="auto"/>
              <w:ind w:right="-20"/>
              <w:jc w:val="center"/>
              <w:rPr>
                <w:rFonts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pPr>
              <w:autoSpaceDE w:val="0"/>
              <w:autoSpaceDN w:val="0"/>
              <w:adjustRightInd w:val="0"/>
              <w:snapToGrid w:val="0"/>
              <w:spacing w:line="360" w:lineRule="auto"/>
              <w:ind w:right="-20"/>
              <w:jc w:val="center"/>
              <w:rPr>
                <w:rFonts w:cs="微软雅黑" w:asciiTheme="minorEastAsia" w:hAnsiTheme="minorEastAsia" w:eastAsiaTheme="minorEastAsia"/>
                <w:kern w:val="0"/>
                <w:position w:val="-1"/>
                <w:szCs w:val="21"/>
              </w:rPr>
            </w:pPr>
            <w:r>
              <w:rPr>
                <w:rFonts w:hint="eastAsia" w:asciiTheme="minorEastAsia" w:hAnsiTheme="minorEastAsia" w:eastAsiaTheme="minorEastAsia"/>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pPr>
              <w:autoSpaceDE w:val="0"/>
              <w:autoSpaceDN w:val="0"/>
              <w:adjustRightInd w:val="0"/>
              <w:snapToGrid w:val="0"/>
              <w:spacing w:line="360" w:lineRule="auto"/>
              <w:ind w:right="-20"/>
              <w:jc w:val="center"/>
              <w:rPr>
                <w:rFonts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备注</w:t>
            </w:r>
          </w:p>
        </w:tc>
      </w:tr>
      <w:tr>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pPr>
              <w:autoSpaceDE w:val="0"/>
              <w:autoSpaceDN w:val="0"/>
              <w:adjustRightInd w:val="0"/>
              <w:snapToGrid w:val="0"/>
              <w:spacing w:line="360" w:lineRule="auto"/>
              <w:ind w:left="352" w:right="-20"/>
              <w:jc w:val="left"/>
              <w:rPr>
                <w:rFonts w:asciiTheme="minorEastAsia" w:hAnsiTheme="minorEastAsia" w:eastAsia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Theme="minorEastAsia" w:hAnsiTheme="minorEastAsia" w:eastAsia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right="-20"/>
              <w:jc w:val="center"/>
              <w:rPr>
                <w:rFonts w:asciiTheme="minorEastAsia" w:hAnsiTheme="minorEastAsia" w:eastAsia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napToGrid w:val="0"/>
              <w:spacing w:line="360" w:lineRule="auto"/>
              <w:ind w:right="-20"/>
              <w:jc w:val="center"/>
              <w:rPr>
                <w:rFonts w:asciiTheme="minorEastAsia" w:hAnsiTheme="minorEastAsia" w:eastAsiaTheme="minorEastAsia"/>
                <w:kern w:val="0"/>
                <w:szCs w:val="21"/>
              </w:rPr>
            </w:pPr>
            <w:r>
              <w:rPr>
                <w:rFonts w:hint="eastAsia" w:cs="微软雅黑" w:asciiTheme="minorEastAsia" w:hAnsiTheme="minorEastAsia" w:eastAsia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napToGrid w:val="0"/>
              <w:spacing w:line="360" w:lineRule="auto"/>
              <w:ind w:left="70" w:right="-2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ind w:left="422" w:right="-20"/>
              <w:jc w:val="left"/>
              <w:rPr>
                <w:rFonts w:asciiTheme="minorEastAsia" w:hAnsiTheme="minorEastAsia" w:eastAsiaTheme="minorEastAsia"/>
                <w:kern w:val="0"/>
                <w:szCs w:val="21"/>
              </w:rPr>
            </w:pPr>
          </w:p>
        </w:tc>
      </w:tr>
      <w:tr>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pPr>
              <w:jc w:val="center"/>
            </w:pPr>
            <w:r>
              <w:t>…</w:t>
            </w:r>
          </w:p>
        </w:tc>
        <w:tc>
          <w:tcPr>
            <w:tcW w:w="138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527" w:right="507"/>
              <w:jc w:val="center"/>
              <w:rPr>
                <w:rFonts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r>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pPr>
              <w:autoSpaceDE w:val="0"/>
              <w:autoSpaceDN w:val="0"/>
              <w:adjustRightInd w:val="0"/>
              <w:snapToGrid w:val="0"/>
              <w:spacing w:line="360" w:lineRule="auto"/>
              <w:jc w:val="center"/>
              <w:rPr>
                <w:rFonts w:asciiTheme="minorEastAsia" w:hAnsiTheme="minorEastAsia" w:eastAsiaTheme="minorEastAsia"/>
                <w:kern w:val="0"/>
                <w:szCs w:val="21"/>
              </w:rPr>
            </w:pPr>
            <w:r>
              <w:rPr>
                <w:rFonts w:hint="eastAsia" w:cs="微软雅黑" w:asciiTheme="minorEastAsia" w:hAnsiTheme="minorEastAsia" w:eastAsiaTheme="minorEastAsia"/>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tcPr>
          <w:p>
            <w:pPr>
              <w:autoSpaceDE w:val="0"/>
              <w:autoSpaceDN w:val="0"/>
              <w:adjustRightInd w:val="0"/>
              <w:snapToGrid w:val="0"/>
              <w:spacing w:line="360" w:lineRule="auto"/>
              <w:jc w:val="left"/>
              <w:rPr>
                <w:rFonts w:asciiTheme="minorEastAsia" w:hAnsiTheme="minorEastAsia" w:eastAsiaTheme="minorEastAsia"/>
                <w:kern w:val="0"/>
                <w:szCs w:val="21"/>
              </w:rPr>
            </w:pPr>
          </w:p>
        </w:tc>
      </w:tr>
    </w:tbl>
    <w:p>
      <w:pPr>
        <w:adjustRightInd w:val="0"/>
        <w:snapToGrid w:val="0"/>
        <w:spacing w:line="360" w:lineRule="auto"/>
        <w:rPr>
          <w:rFonts w:ascii="宋体" w:hAnsi="宋体"/>
          <w:szCs w:val="21"/>
        </w:rPr>
      </w:pPr>
      <w:r>
        <w:rPr>
          <w:rFonts w:hint="eastAsia" w:ascii="宋体" w:hAnsi="宋体"/>
          <w:szCs w:val="21"/>
        </w:rPr>
        <w:t>备注：</w:t>
      </w:r>
      <w:r>
        <w:rPr>
          <w:rFonts w:hint="eastAsia" w:asciiTheme="minorEastAsia" w:hAnsiTheme="minorEastAsia" w:eastAsiaTheme="minorEastAsia"/>
          <w:szCs w:val="21"/>
        </w:rPr>
        <w:t>（1）</w:t>
      </w:r>
      <w:r>
        <w:rPr>
          <w:rFonts w:hint="eastAsia" w:asciiTheme="minorEastAsia" w:hAnsiTheme="minorEastAsia" w:eastAsiaTheme="minorEastAsia"/>
          <w:b/>
          <w:szCs w:val="21"/>
        </w:rPr>
        <w:t>本表应对应</w:t>
      </w:r>
      <w:r>
        <w:rPr>
          <w:rFonts w:hint="eastAsia" w:ascii="宋体" w:hAnsi="宋体"/>
          <w:szCs w:val="21"/>
        </w:rPr>
        <w:t>“</w:t>
      </w:r>
      <w:r>
        <w:rPr>
          <w:rFonts w:hint="eastAsia" w:asciiTheme="minorEastAsia" w:hAnsiTheme="minorEastAsia" w:eastAsiaTheme="minorEastAsia"/>
          <w:b/>
          <w:szCs w:val="21"/>
        </w:rPr>
        <w:t>开标一览表</w:t>
      </w:r>
      <w:r>
        <w:rPr>
          <w:rFonts w:hint="eastAsia" w:ascii="宋体" w:hAnsi="宋体"/>
          <w:szCs w:val="21"/>
        </w:rPr>
        <w:t>”</w:t>
      </w:r>
      <w:r>
        <w:rPr>
          <w:rFonts w:hint="eastAsia" w:asciiTheme="minorEastAsia" w:hAnsiTheme="minorEastAsia" w:eastAsiaTheme="minorEastAsia"/>
          <w:b/>
          <w:szCs w:val="21"/>
        </w:rPr>
        <w:t>，按包填写</w:t>
      </w:r>
      <w:r>
        <w:rPr>
          <w:rFonts w:hint="eastAsia" w:asciiTheme="minorEastAsia" w:hAnsiTheme="minorEastAsia" w:eastAsiaTheme="minorEastAsia"/>
          <w:szCs w:val="21"/>
        </w:rPr>
        <w:t>。</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（2）</w:t>
      </w:r>
      <w:r>
        <w:rPr>
          <w:rFonts w:hint="eastAsia" w:ascii="宋体" w:hAnsi="宋体"/>
          <w:szCs w:val="21"/>
        </w:rPr>
        <w:t>不得填写“免费”或“赠与”，也不得进行“零”报价，否则</w:t>
      </w:r>
      <w:r>
        <w:rPr>
          <w:rFonts w:hint="eastAsia" w:ascii="宋体" w:hAnsi="宋体"/>
          <w:b/>
          <w:szCs w:val="21"/>
        </w:rPr>
        <w:t>投标无效</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如果开标一览表内容与本表内容不一致的，以开标一览表内容为准。</w:t>
      </w:r>
    </w:p>
    <w:p>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（4）</w:t>
      </w:r>
      <w:r>
        <w:rPr>
          <w:rFonts w:hint="eastAsia" w:asciiTheme="minorEastAsia" w:hAnsiTheme="minorEastAsia" w:eastAsiaTheme="minorEastAsia"/>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pPr>
        <w:adjustRightInd w:val="0"/>
        <w:snapToGrid w:val="0"/>
        <w:spacing w:line="360" w:lineRule="auto"/>
        <w:ind w:firstLine="422" w:firstLineChars="200"/>
        <w:rPr>
          <w:rFonts w:asciiTheme="minorEastAsia" w:hAnsiTheme="minorEastAsia" w:eastAsiaTheme="minorEastAsia"/>
          <w:b/>
          <w:szCs w:val="21"/>
        </w:rPr>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jc w:val="center"/>
        <w:rPr>
          <w:rFonts w:ascii="宋体" w:hAnsi="宋体"/>
          <w:b/>
          <w:sz w:val="28"/>
          <w:szCs w:val="28"/>
        </w:rPr>
      </w:pPr>
      <w:r>
        <w:rPr>
          <w:rFonts w:ascii="宋体" w:hAnsi="宋体"/>
          <w:b/>
          <w:sz w:val="28"/>
          <w:szCs w:val="28"/>
        </w:rPr>
        <w:br w:type="page"/>
      </w:r>
    </w:p>
    <w:p>
      <w:pPr>
        <w:adjustRightInd w:val="0"/>
        <w:snapToGrid w:val="0"/>
        <w:spacing w:line="360" w:lineRule="auto"/>
        <w:rPr>
          <w:rFonts w:ascii="宋体" w:hAnsi="宋体"/>
          <w:szCs w:val="21"/>
        </w:rPr>
        <w:sectPr>
          <w:headerReference r:id="rId17" w:type="first"/>
          <w:footerReference r:id="rId20" w:type="first"/>
          <w:headerReference r:id="rId15" w:type="default"/>
          <w:footerReference r:id="rId18" w:type="default"/>
          <w:headerReference r:id="rId16" w:type="even"/>
          <w:footerReference r:id="rId19" w:type="even"/>
          <w:pgSz w:w="11906" w:h="16838"/>
          <w:pgMar w:top="1474" w:right="1474" w:bottom="1474" w:left="1588" w:header="851" w:footer="992" w:gutter="0"/>
          <w:pgBorders>
            <w:top w:val="none" w:sz="0" w:space="0"/>
            <w:left w:val="none" w:sz="0" w:space="0"/>
            <w:bottom w:val="none" w:sz="0" w:space="0"/>
            <w:right w:val="none" w:sz="0" w:space="0"/>
          </w:pgBorders>
          <w:pgNumType w:fmt="decimal" w:start="64"/>
          <w:cols w:space="720" w:num="1"/>
          <w:docGrid w:type="lines" w:linePitch="312" w:charSpace="0"/>
        </w:sectPr>
      </w:pPr>
    </w:p>
    <w:p>
      <w:pPr>
        <w:pStyle w:val="5"/>
        <w:adjustRightInd w:val="0"/>
        <w:snapToGrid w:val="0"/>
        <w:spacing w:before="0" w:after="0" w:line="360" w:lineRule="auto"/>
        <w:jc w:val="center"/>
        <w:rPr>
          <w:rFonts w:ascii="黑体" w:hAnsi="宋体" w:eastAsia="黑体"/>
          <w:sz w:val="28"/>
          <w:szCs w:val="28"/>
        </w:rPr>
      </w:pPr>
      <w:bookmarkStart w:id="129" w:name="_Toc20651260"/>
      <w:r>
        <w:rPr>
          <w:rFonts w:hint="eastAsia" w:ascii="黑体" w:hAnsi="宋体" w:eastAsia="黑体"/>
          <w:sz w:val="28"/>
          <w:szCs w:val="28"/>
        </w:rPr>
        <w:t>七、采购需求响应</w:t>
      </w:r>
      <w:bookmarkEnd w:id="129"/>
    </w:p>
    <w:p>
      <w:pPr>
        <w:adjustRightInd w:val="0"/>
        <w:snapToGrid w:val="0"/>
        <w:spacing w:line="360" w:lineRule="auto"/>
        <w:rPr>
          <w:rFonts w:asciiTheme="minorEastAsia" w:hAnsiTheme="minorEastAsia" w:eastAsiaTheme="minorEastAsia"/>
          <w:b/>
          <w:szCs w:val="21"/>
        </w:rPr>
      </w:pPr>
    </w:p>
    <w:p>
      <w:pPr>
        <w:adjustRightInd w:val="0"/>
        <w:snapToGrid w:val="0"/>
        <w:spacing w:line="360" w:lineRule="auto"/>
        <w:rPr>
          <w:b/>
        </w:rPr>
      </w:pPr>
      <w:r>
        <w:rPr>
          <w:rFonts w:hint="eastAsia" w:asciiTheme="minorEastAsia" w:hAnsiTheme="minorEastAsia" w:eastAsiaTheme="minorEastAsia"/>
          <w:b/>
          <w:szCs w:val="21"/>
        </w:rPr>
        <w:t>编制说明</w:t>
      </w:r>
      <w:r>
        <w:rPr>
          <w:rFonts w:hint="eastAsia" w:asciiTheme="minorEastAsia" w:hAnsiTheme="minorEastAsia" w:eastAsiaTheme="minorEastAsia"/>
          <w:bCs/>
          <w:szCs w:val="21"/>
        </w:rPr>
        <w:t>：</w:t>
      </w:r>
      <w:r>
        <w:rPr>
          <w:rFonts w:hint="eastAsia"/>
          <w:b/>
        </w:rPr>
        <w:t>投标人应按招标文件第五章采购需求自行编写采购需求响应文件（其内容可包括，且不限于详细的技术指标和性能、售后服务和技术服务的组织及保证措施等，格式自拟）。</w:t>
      </w:r>
    </w:p>
    <w:p>
      <w:pPr>
        <w:pStyle w:val="24"/>
        <w:adjustRightInd w:val="0"/>
        <w:snapToGrid w:val="0"/>
        <w:spacing w:line="360" w:lineRule="auto"/>
        <w:ind w:left="-88" w:leftChars="-42"/>
        <w:rPr>
          <w:rFonts w:ascii="宋体" w:hAnsi="宋体"/>
          <w:bCs/>
          <w:sz w:val="21"/>
          <w:szCs w:val="21"/>
        </w:rPr>
      </w:pPr>
    </w:p>
    <w:p/>
    <w:p/>
    <w:p>
      <w:pPr>
        <w:pStyle w:val="24"/>
        <w:tabs>
          <w:tab w:val="left" w:pos="6208"/>
        </w:tabs>
        <w:adjustRightInd w:val="0"/>
        <w:snapToGrid w:val="0"/>
        <w:spacing w:line="360" w:lineRule="auto"/>
        <w:ind w:left="-88" w:leftChars="-42"/>
        <w:rPr>
          <w:rFonts w:ascii="宋体" w:hAnsi="宋体"/>
          <w:bCs/>
          <w:sz w:val="21"/>
          <w:szCs w:val="21"/>
        </w:rPr>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
    <w:p>
      <w:pPr>
        <w:pStyle w:val="6"/>
        <w:adjustRightInd w:val="0"/>
        <w:snapToGrid w:val="0"/>
        <w:spacing w:before="156" w:beforeLines="50" w:after="0" w:line="360" w:lineRule="auto"/>
        <w:rPr>
          <w:rFonts w:ascii="黑体" w:hAnsi="黑体"/>
          <w:b w:val="0"/>
          <w:sz w:val="21"/>
          <w:szCs w:val="21"/>
        </w:rPr>
      </w:pPr>
      <w:bookmarkStart w:id="130" w:name="_Toc20651261"/>
      <w:r>
        <w:rPr>
          <w:rFonts w:hint="eastAsia" w:ascii="黑体" w:hAnsi="黑体" w:cs="宋体"/>
          <w:b w:val="0"/>
          <w:spacing w:val="6"/>
          <w:kern w:val="0"/>
          <w:sz w:val="21"/>
          <w:szCs w:val="21"/>
        </w:rPr>
        <w:t>附件7-1 响应</w:t>
      </w:r>
      <w:r>
        <w:rPr>
          <w:rFonts w:hint="eastAsia" w:ascii="黑体" w:hAnsi="黑体"/>
          <w:b w:val="0"/>
          <w:sz w:val="21"/>
          <w:szCs w:val="21"/>
        </w:rPr>
        <w:t>-览表</w:t>
      </w:r>
      <w:bookmarkEnd w:id="130"/>
    </w:p>
    <w:p>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pPr>
        <w:jc w:val="center"/>
        <w:rPr>
          <w:rFonts w:asciiTheme="minorEastAsia" w:hAnsiTheme="minorEastAsia" w:eastAsiaTheme="minorEastAsia"/>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pPr>
              <w:jc w:val="center"/>
              <w:rPr>
                <w:szCs w:val="21"/>
              </w:rPr>
            </w:pPr>
            <w:r>
              <w:rPr>
                <w:rFonts w:hint="eastAsia"/>
                <w:szCs w:val="21"/>
              </w:rPr>
              <w:t xml:space="preserve">包号 </w:t>
            </w:r>
          </w:p>
        </w:tc>
        <w:tc>
          <w:tcPr>
            <w:tcW w:w="957" w:type="dxa"/>
            <w:vMerge w:val="restart"/>
            <w:tcBorders>
              <w:right w:val="single" w:color="auto" w:sz="4" w:space="0"/>
            </w:tcBorders>
            <w:vAlign w:val="center"/>
          </w:tcPr>
          <w:p>
            <w:pPr>
              <w:jc w:val="center"/>
              <w:rPr>
                <w:szCs w:val="21"/>
              </w:rPr>
            </w:pPr>
            <w:r>
              <w:rPr>
                <w:rFonts w:hint="eastAsia"/>
                <w:szCs w:val="21"/>
              </w:rPr>
              <w:t>包名称</w:t>
            </w:r>
          </w:p>
        </w:tc>
        <w:tc>
          <w:tcPr>
            <w:tcW w:w="2124" w:type="dxa"/>
            <w:vMerge w:val="restart"/>
            <w:tcBorders>
              <w:left w:val="single" w:color="auto" w:sz="4" w:space="0"/>
            </w:tcBorders>
            <w:vAlign w:val="center"/>
          </w:tcPr>
          <w:p>
            <w:pPr>
              <w:jc w:val="center"/>
              <w:rPr>
                <w:szCs w:val="21"/>
              </w:rPr>
            </w:pPr>
            <w:r>
              <w:rPr>
                <w:rFonts w:hint="eastAsia"/>
                <w:szCs w:val="21"/>
              </w:rPr>
              <w:t>分项项目名称</w:t>
            </w:r>
          </w:p>
          <w:p>
            <w:pPr>
              <w:jc w:val="center"/>
              <w:rPr>
                <w:szCs w:val="21"/>
              </w:rPr>
            </w:pPr>
            <w:r>
              <w:rPr>
                <w:rFonts w:hint="eastAsia"/>
                <w:szCs w:val="21"/>
              </w:rPr>
              <w:t>（条目号/品目名称）</w:t>
            </w:r>
          </w:p>
        </w:tc>
        <w:tc>
          <w:tcPr>
            <w:tcW w:w="2127" w:type="dxa"/>
            <w:vMerge w:val="restart"/>
            <w:vAlign w:val="center"/>
          </w:tcPr>
          <w:p>
            <w:pPr>
              <w:jc w:val="center"/>
              <w:rPr>
                <w:szCs w:val="21"/>
              </w:rPr>
            </w:pPr>
            <w:r>
              <w:rPr>
                <w:rFonts w:hint="eastAsia"/>
                <w:szCs w:val="21"/>
              </w:rPr>
              <w:t>主要技术参数或规格</w:t>
            </w:r>
          </w:p>
        </w:tc>
        <w:tc>
          <w:tcPr>
            <w:tcW w:w="992" w:type="dxa"/>
            <w:vMerge w:val="restart"/>
            <w:vAlign w:val="center"/>
          </w:tcPr>
          <w:p>
            <w:pPr>
              <w:jc w:val="center"/>
              <w:rPr>
                <w:szCs w:val="21"/>
              </w:rPr>
            </w:pPr>
            <w:r>
              <w:rPr>
                <w:rFonts w:hint="eastAsia"/>
                <w:szCs w:val="21"/>
              </w:rPr>
              <w:t>数量</w:t>
            </w:r>
          </w:p>
          <w:p>
            <w:pPr>
              <w:jc w:val="center"/>
              <w:rPr>
                <w:szCs w:val="21"/>
              </w:rPr>
            </w:pPr>
            <w:r>
              <w:rPr>
                <w:rFonts w:hint="eastAsia"/>
                <w:szCs w:val="21"/>
              </w:rPr>
              <w:t>（台套）</w:t>
            </w:r>
          </w:p>
        </w:tc>
        <w:tc>
          <w:tcPr>
            <w:tcW w:w="1460" w:type="dxa"/>
            <w:gridSpan w:val="2"/>
            <w:vAlign w:val="center"/>
          </w:tcPr>
          <w:p>
            <w:pPr>
              <w:jc w:val="center"/>
              <w:rPr>
                <w:szCs w:val="21"/>
              </w:rPr>
            </w:pPr>
            <w:r>
              <w:rPr>
                <w:rFonts w:hint="eastAsia"/>
                <w:szCs w:val="21"/>
              </w:rPr>
              <w:t>交货</w:t>
            </w:r>
          </w:p>
        </w:tc>
        <w:tc>
          <w:tcPr>
            <w:tcW w:w="971" w:type="dxa"/>
            <w:vMerge w:val="restart"/>
            <w:vAlign w:val="center"/>
          </w:tcPr>
          <w:p>
            <w:pPr>
              <w:jc w:val="center"/>
              <w:rPr>
                <w:szCs w:val="21"/>
              </w:rPr>
            </w:pPr>
            <w:r>
              <w:rPr>
                <w:rFonts w:hint="eastAsia"/>
                <w:szCs w:val="21"/>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pPr>
              <w:jc w:val="center"/>
              <w:rPr>
                <w:szCs w:val="21"/>
              </w:rPr>
            </w:pPr>
          </w:p>
        </w:tc>
        <w:tc>
          <w:tcPr>
            <w:tcW w:w="957" w:type="dxa"/>
            <w:vMerge w:val="continue"/>
            <w:tcBorders>
              <w:right w:val="single" w:color="auto" w:sz="4" w:space="0"/>
            </w:tcBorders>
            <w:vAlign w:val="center"/>
          </w:tcPr>
          <w:p>
            <w:pPr>
              <w:jc w:val="center"/>
              <w:rPr>
                <w:szCs w:val="21"/>
              </w:rPr>
            </w:pPr>
          </w:p>
        </w:tc>
        <w:tc>
          <w:tcPr>
            <w:tcW w:w="2124" w:type="dxa"/>
            <w:vMerge w:val="continue"/>
            <w:tcBorders>
              <w:left w:val="single" w:color="auto" w:sz="4" w:space="0"/>
            </w:tcBorders>
            <w:vAlign w:val="center"/>
          </w:tcPr>
          <w:p>
            <w:pPr>
              <w:jc w:val="center"/>
              <w:rPr>
                <w:szCs w:val="21"/>
              </w:rPr>
            </w:pPr>
          </w:p>
        </w:tc>
        <w:tc>
          <w:tcPr>
            <w:tcW w:w="2127" w:type="dxa"/>
            <w:vMerge w:val="continue"/>
            <w:vAlign w:val="center"/>
          </w:tcPr>
          <w:p>
            <w:pPr>
              <w:jc w:val="center"/>
              <w:rPr>
                <w:szCs w:val="21"/>
              </w:rPr>
            </w:pPr>
          </w:p>
        </w:tc>
        <w:tc>
          <w:tcPr>
            <w:tcW w:w="992" w:type="dxa"/>
            <w:vMerge w:val="continue"/>
            <w:vAlign w:val="center"/>
          </w:tcPr>
          <w:p>
            <w:pPr>
              <w:jc w:val="center"/>
              <w:rPr>
                <w:szCs w:val="21"/>
              </w:rPr>
            </w:pPr>
          </w:p>
        </w:tc>
        <w:tc>
          <w:tcPr>
            <w:tcW w:w="709" w:type="dxa"/>
            <w:vAlign w:val="center"/>
          </w:tcPr>
          <w:p>
            <w:pPr>
              <w:jc w:val="center"/>
              <w:rPr>
                <w:szCs w:val="21"/>
              </w:rPr>
            </w:pPr>
            <w:r>
              <w:rPr>
                <w:rFonts w:hint="eastAsia"/>
                <w:szCs w:val="21"/>
              </w:rPr>
              <w:t>时间</w:t>
            </w:r>
          </w:p>
        </w:tc>
        <w:tc>
          <w:tcPr>
            <w:tcW w:w="751" w:type="dxa"/>
            <w:vAlign w:val="center"/>
          </w:tcPr>
          <w:p>
            <w:pPr>
              <w:jc w:val="center"/>
              <w:rPr>
                <w:szCs w:val="21"/>
              </w:rPr>
            </w:pPr>
            <w:r>
              <w:rPr>
                <w:rFonts w:hint="eastAsia"/>
                <w:szCs w:val="21"/>
              </w:rPr>
              <w:t>地点</w:t>
            </w:r>
          </w:p>
        </w:tc>
        <w:tc>
          <w:tcPr>
            <w:tcW w:w="971" w:type="dxa"/>
            <w:vMerge w:val="continue"/>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pPr>
              <w:rPr>
                <w:szCs w:val="21"/>
              </w:rPr>
            </w:pPr>
          </w:p>
        </w:tc>
        <w:tc>
          <w:tcPr>
            <w:tcW w:w="957" w:type="dxa"/>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709" w:type="dxa"/>
            <w:tcBorders>
              <w:bottom w:val="single" w:color="auto" w:sz="4" w:space="0"/>
            </w:tcBorders>
          </w:tcPr>
          <w:p>
            <w:pPr>
              <w:rPr>
                <w:szCs w:val="21"/>
              </w:rPr>
            </w:pPr>
          </w:p>
        </w:tc>
        <w:tc>
          <w:tcPr>
            <w:tcW w:w="751" w:type="dxa"/>
            <w:tcBorders>
              <w:bottom w:val="single" w:color="auto" w:sz="4" w:space="0"/>
            </w:tcBorders>
          </w:tcPr>
          <w:p>
            <w:pPr>
              <w:rPr>
                <w:szCs w:val="21"/>
              </w:rPr>
            </w:pPr>
          </w:p>
        </w:tc>
        <w:tc>
          <w:tcPr>
            <w:tcW w:w="971"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pPr>
              <w:rPr>
                <w:szCs w:val="21"/>
              </w:rPr>
            </w:pPr>
          </w:p>
        </w:tc>
        <w:tc>
          <w:tcPr>
            <w:tcW w:w="957" w:type="dxa"/>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709" w:type="dxa"/>
            <w:tcBorders>
              <w:top w:val="single" w:color="auto" w:sz="4" w:space="0"/>
              <w:bottom w:val="single" w:color="auto" w:sz="4" w:space="0"/>
            </w:tcBorders>
          </w:tcPr>
          <w:p>
            <w:pPr>
              <w:rPr>
                <w:szCs w:val="21"/>
              </w:rPr>
            </w:pPr>
          </w:p>
        </w:tc>
        <w:tc>
          <w:tcPr>
            <w:tcW w:w="751" w:type="dxa"/>
            <w:tcBorders>
              <w:top w:val="single" w:color="auto" w:sz="4" w:space="0"/>
              <w:bottom w:val="single" w:color="auto" w:sz="4" w:space="0"/>
            </w:tcBorders>
          </w:tcPr>
          <w:p>
            <w:pPr>
              <w:rPr>
                <w:szCs w:val="21"/>
              </w:rPr>
            </w:pPr>
          </w:p>
        </w:tc>
        <w:tc>
          <w:tcPr>
            <w:tcW w:w="971"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pPr>
              <w:rPr>
                <w:szCs w:val="21"/>
              </w:rPr>
            </w:pPr>
          </w:p>
        </w:tc>
        <w:tc>
          <w:tcPr>
            <w:tcW w:w="957" w:type="dxa"/>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709" w:type="dxa"/>
            <w:tcBorders>
              <w:top w:val="single" w:color="auto" w:sz="4" w:space="0"/>
              <w:bottom w:val="single" w:color="auto" w:sz="4" w:space="0"/>
            </w:tcBorders>
          </w:tcPr>
          <w:p>
            <w:pPr>
              <w:rPr>
                <w:szCs w:val="21"/>
              </w:rPr>
            </w:pPr>
          </w:p>
        </w:tc>
        <w:tc>
          <w:tcPr>
            <w:tcW w:w="751" w:type="dxa"/>
            <w:tcBorders>
              <w:top w:val="single" w:color="auto" w:sz="4" w:space="0"/>
              <w:bottom w:val="single" w:color="auto" w:sz="4" w:space="0"/>
            </w:tcBorders>
          </w:tcPr>
          <w:p>
            <w:pPr>
              <w:rPr>
                <w:szCs w:val="21"/>
              </w:rPr>
            </w:pPr>
          </w:p>
        </w:tc>
        <w:tc>
          <w:tcPr>
            <w:tcW w:w="971"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pPr>
              <w:rPr>
                <w:szCs w:val="21"/>
              </w:rPr>
            </w:pPr>
          </w:p>
        </w:tc>
        <w:tc>
          <w:tcPr>
            <w:tcW w:w="957" w:type="dxa"/>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709" w:type="dxa"/>
            <w:tcBorders>
              <w:top w:val="single" w:color="auto" w:sz="4" w:space="0"/>
              <w:bottom w:val="single" w:color="auto" w:sz="4" w:space="0"/>
            </w:tcBorders>
          </w:tcPr>
          <w:p>
            <w:pPr>
              <w:rPr>
                <w:szCs w:val="21"/>
              </w:rPr>
            </w:pPr>
          </w:p>
        </w:tc>
        <w:tc>
          <w:tcPr>
            <w:tcW w:w="751" w:type="dxa"/>
            <w:tcBorders>
              <w:top w:val="single" w:color="auto" w:sz="4" w:space="0"/>
              <w:bottom w:val="single" w:color="auto" w:sz="4" w:space="0"/>
            </w:tcBorders>
          </w:tcPr>
          <w:p>
            <w:pPr>
              <w:rPr>
                <w:szCs w:val="21"/>
              </w:rPr>
            </w:pPr>
          </w:p>
        </w:tc>
        <w:tc>
          <w:tcPr>
            <w:tcW w:w="971" w:type="dxa"/>
          </w:tcPr>
          <w:p>
            <w:pPr>
              <w:rPr>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pPr>
              <w:rPr>
                <w:szCs w:val="21"/>
              </w:rPr>
            </w:pPr>
          </w:p>
        </w:tc>
        <w:tc>
          <w:tcPr>
            <w:tcW w:w="957" w:type="dxa"/>
            <w:tcBorders>
              <w:right w:val="single" w:color="auto" w:sz="4" w:space="0"/>
            </w:tcBorders>
          </w:tcPr>
          <w:p>
            <w:pPr>
              <w:rPr>
                <w:szCs w:val="21"/>
              </w:rPr>
            </w:pPr>
          </w:p>
        </w:tc>
        <w:tc>
          <w:tcPr>
            <w:tcW w:w="2124" w:type="dxa"/>
            <w:tcBorders>
              <w:left w:val="single" w:color="auto" w:sz="4" w:space="0"/>
            </w:tcBorders>
          </w:tcPr>
          <w:p>
            <w:pPr>
              <w:rPr>
                <w:szCs w:val="21"/>
              </w:rPr>
            </w:pPr>
          </w:p>
        </w:tc>
        <w:tc>
          <w:tcPr>
            <w:tcW w:w="2127" w:type="dxa"/>
          </w:tcPr>
          <w:p>
            <w:pPr>
              <w:rPr>
                <w:szCs w:val="21"/>
              </w:rPr>
            </w:pPr>
          </w:p>
        </w:tc>
        <w:tc>
          <w:tcPr>
            <w:tcW w:w="992" w:type="dxa"/>
          </w:tcPr>
          <w:p>
            <w:pPr>
              <w:rPr>
                <w:szCs w:val="21"/>
              </w:rPr>
            </w:pPr>
          </w:p>
        </w:tc>
        <w:tc>
          <w:tcPr>
            <w:tcW w:w="709" w:type="dxa"/>
            <w:tcBorders>
              <w:top w:val="single" w:color="auto" w:sz="4" w:space="0"/>
            </w:tcBorders>
          </w:tcPr>
          <w:p>
            <w:pPr>
              <w:rPr>
                <w:szCs w:val="21"/>
              </w:rPr>
            </w:pPr>
          </w:p>
        </w:tc>
        <w:tc>
          <w:tcPr>
            <w:tcW w:w="751" w:type="dxa"/>
            <w:tcBorders>
              <w:top w:val="single" w:color="auto" w:sz="4" w:space="0"/>
            </w:tcBorders>
          </w:tcPr>
          <w:p>
            <w:pPr>
              <w:rPr>
                <w:szCs w:val="21"/>
              </w:rPr>
            </w:pPr>
          </w:p>
        </w:tc>
        <w:tc>
          <w:tcPr>
            <w:tcW w:w="971" w:type="dxa"/>
          </w:tcPr>
          <w:p>
            <w:pPr>
              <w:rPr>
                <w:szCs w:val="21"/>
              </w:rPr>
            </w:pPr>
          </w:p>
        </w:tc>
      </w:tr>
    </w:tbl>
    <w:p>
      <w:pPr>
        <w:adjustRightInd w:val="0"/>
        <w:snapToGrid w:val="0"/>
        <w:spacing w:line="360" w:lineRule="auto"/>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rPr>
          <w:rFonts w:ascii="黑体" w:hAnsi="宋体" w:eastAsia="黑体"/>
          <w:sz w:val="28"/>
          <w:szCs w:val="28"/>
        </w:rPr>
        <w:sectPr>
          <w:headerReference r:id="rId23" w:type="first"/>
          <w:headerReference r:id="rId21" w:type="default"/>
          <w:footerReference r:id="rId24" w:type="default"/>
          <w:headerReference r:id="rId22" w:type="even"/>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adjustRightInd w:val="0"/>
        <w:snapToGrid w:val="0"/>
        <w:spacing w:before="156" w:beforeLines="50" w:after="0" w:line="360" w:lineRule="auto"/>
        <w:jc w:val="center"/>
        <w:rPr>
          <w:rFonts w:ascii="黑体" w:hAnsi="黑体" w:eastAsia="黑体"/>
          <w:sz w:val="28"/>
          <w:szCs w:val="28"/>
        </w:rPr>
      </w:pPr>
      <w:bookmarkStart w:id="131" w:name="_Toc20651262"/>
      <w:r>
        <w:rPr>
          <w:rFonts w:hint="eastAsia" w:ascii="黑体" w:hAnsi="黑体" w:eastAsia="黑体"/>
          <w:sz w:val="28"/>
          <w:szCs w:val="28"/>
        </w:rPr>
        <w:t>八、合同条款偏离表</w:t>
      </w:r>
      <w:bookmarkEnd w:id="131"/>
    </w:p>
    <w:p>
      <w:pPr>
        <w:adjustRightInd w:val="0"/>
        <w:snapToGrid w:val="0"/>
        <w:spacing w:before="156"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pPr>
        <w:adjustRightInd w:val="0"/>
        <w:snapToGrid w:val="0"/>
        <w:spacing w:before="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rPr>
              <w:t>招标文件要求</w:t>
            </w:r>
          </w:p>
        </w:tc>
        <w:tc>
          <w:tcPr>
            <w:tcW w:w="2082" w:type="dxa"/>
            <w:tcBorders>
              <w:right w:val="single" w:color="auto" w:sz="4" w:space="0"/>
            </w:tcBorders>
            <w:vAlign w:val="center"/>
          </w:tcPr>
          <w:p>
            <w:pPr>
              <w:adjustRightInd w:val="0"/>
              <w:snapToGrid w:val="0"/>
              <w:spacing w:before="50" w:line="360" w:lineRule="auto"/>
              <w:jc w:val="center"/>
              <w:rPr>
                <w:rFonts w:asciiTheme="minorEastAsia" w:hAnsiTheme="minorEastAsia" w:eastAsiaTheme="minorEastAsia"/>
                <w:szCs w:val="21"/>
              </w:rPr>
            </w:pPr>
            <w:r>
              <w:rPr>
                <w:rFonts w:hint="eastAsia"/>
              </w:rPr>
              <w:t>投标文件的应答</w:t>
            </w: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Pr>
          <w:p>
            <w:pPr>
              <w:adjustRightInd w:val="0"/>
              <w:snapToGrid w:val="0"/>
              <w:spacing w:before="50" w:line="360" w:lineRule="auto"/>
            </w:pPr>
          </w:p>
        </w:tc>
        <w:tc>
          <w:tcPr>
            <w:tcW w:w="2082" w:type="dxa"/>
            <w:tcBorders>
              <w:right w:val="single" w:color="auto" w:sz="4" w:space="0"/>
            </w:tcBorders>
          </w:tcPr>
          <w:p>
            <w:pPr>
              <w:adjustRightInd w:val="0"/>
              <w:snapToGrid w:val="0"/>
              <w:spacing w:before="50" w:line="360" w:lineRule="auto"/>
            </w:pPr>
          </w:p>
        </w:tc>
        <w:tc>
          <w:tcPr>
            <w:tcW w:w="1942" w:type="dxa"/>
            <w:tcBorders>
              <w:left w:val="single" w:color="auto" w:sz="4" w:space="0"/>
            </w:tcBorders>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4024" w:type="dxa"/>
            <w:gridSpan w:val="2"/>
            <w:vAlign w:val="center"/>
          </w:tcPr>
          <w:p>
            <w:pPr>
              <w:adjustRightInd w:val="0"/>
              <w:snapToGrid w:val="0"/>
              <w:spacing w:before="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投标人保证：除本合同条款偏离表列出的偏离外，我单位对招标文件的其他商务、合同条款完全响应，无偏离。</w:t>
            </w:r>
          </w:p>
        </w:tc>
      </w:tr>
    </w:tbl>
    <w:p>
      <w:pPr>
        <w:adjustRightInd w:val="0"/>
        <w:snapToGrid w:val="0"/>
        <w:spacing w:before="50" w:line="360" w:lineRule="auto"/>
        <w:ind w:left="-88" w:leftChars="-42"/>
        <w:rPr>
          <w:rFonts w:ascii="宋体" w:hAnsi="宋体"/>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w:t>
      </w:r>
      <w:r>
        <w:rPr>
          <w:rFonts w:hint="eastAsia" w:ascii="宋体" w:hAnsi="宋体"/>
          <w:szCs w:val="21"/>
        </w:rPr>
        <w:t>投标人应根据招标文件第六章</w:t>
      </w:r>
      <w:r>
        <w:rPr>
          <w:rFonts w:hint="eastAsia" w:ascii="华文宋体" w:hAnsi="华文宋体" w:eastAsia="华文宋体"/>
          <w:szCs w:val="21"/>
        </w:rPr>
        <w:t>“</w:t>
      </w:r>
      <w:r>
        <w:rPr>
          <w:rFonts w:hint="eastAsia" w:ascii="宋体" w:hAnsi="宋体"/>
          <w:szCs w:val="21"/>
        </w:rPr>
        <w:t>采购合同</w:t>
      </w:r>
      <w:r>
        <w:rPr>
          <w:rFonts w:hint="eastAsia" w:ascii="华文宋体" w:hAnsi="华文宋体" w:eastAsia="华文宋体"/>
          <w:szCs w:val="21"/>
        </w:rPr>
        <w:t>”</w:t>
      </w:r>
      <w:r>
        <w:rPr>
          <w:rFonts w:hint="eastAsia" w:ascii="宋体" w:hAnsi="宋体"/>
          <w:szCs w:val="21"/>
        </w:rPr>
        <w:t>填写本表；</w:t>
      </w:r>
    </w:p>
    <w:p>
      <w:pPr>
        <w:adjustRightInd w:val="0"/>
        <w:snapToGrid w:val="0"/>
        <w:spacing w:before="50" w:line="360" w:lineRule="auto"/>
        <w:ind w:left="-88" w:leftChars="-42" w:firstLine="420" w:firstLineChars="200"/>
        <w:rPr>
          <w:rFonts w:ascii="宋体" w:hAnsi="宋体"/>
          <w:b/>
          <w:szCs w:val="21"/>
        </w:rPr>
      </w:pPr>
      <w:r>
        <w:rPr>
          <w:rFonts w:hint="eastAsia" w:asciiTheme="minorEastAsia" w:hAnsiTheme="minorEastAsia" w:eastAsiaTheme="minorEastAsia"/>
          <w:szCs w:val="21"/>
        </w:rPr>
        <w:t>（2）</w:t>
      </w:r>
      <w:r>
        <w:rPr>
          <w:rFonts w:hint="eastAsia" w:ascii="宋体" w:hAnsi="宋体"/>
          <w:b/>
          <w:szCs w:val="21"/>
        </w:rPr>
        <w:t>投标人如果对招标文件第六章“采购合同”的响应有偏离，应将偏离条款逐条如实应答，并作出说明；</w:t>
      </w:r>
    </w:p>
    <w:p>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如不提供此表，则视为投标人不满足招标文件第六章的所有条款要求，</w:t>
      </w:r>
      <w:r>
        <w:rPr>
          <w:rFonts w:hint="eastAsia" w:asciiTheme="minorEastAsia" w:hAnsiTheme="minorEastAsia" w:eastAsiaTheme="minorEastAsia"/>
          <w:szCs w:val="21"/>
        </w:rPr>
        <w:t>其</w:t>
      </w:r>
      <w:r>
        <w:rPr>
          <w:rFonts w:hint="eastAsia" w:asciiTheme="minorEastAsia" w:hAnsiTheme="minorEastAsia" w:eastAsiaTheme="minorEastAsia"/>
          <w:b/>
          <w:szCs w:val="21"/>
        </w:rPr>
        <w:t>投标无效</w:t>
      </w:r>
      <w:r>
        <w:rPr>
          <w:rFonts w:hint="eastAsia" w:ascii="宋体" w:hAnsi="宋体"/>
          <w:szCs w:val="21"/>
        </w:rPr>
        <w:t>。</w:t>
      </w:r>
    </w:p>
    <w:p>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pPr>
        <w:adjustRightInd w:val="0"/>
        <w:snapToGrid w:val="0"/>
        <w:spacing w:before="50" w:line="360" w:lineRule="auto"/>
        <w:rPr>
          <w:rFonts w:asciiTheme="minorEastAsia" w:hAnsiTheme="minorEastAsia" w:eastAsiaTheme="minorEastAsia"/>
          <w:szCs w:val="21"/>
        </w:rPr>
      </w:pP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r>
        <w:rPr>
          <w:rFonts w:hint="eastAsia" w:ascii="宋体" w:hAnsi="宋体"/>
          <w:szCs w:val="21"/>
        </w:rPr>
        <w:t>投标人名称（盖单位章）：</w:t>
      </w:r>
    </w:p>
    <w:p>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pPr>
        <w:adjustRightInd w:val="0"/>
        <w:snapToGrid w:val="0"/>
        <w:spacing w:before="50" w:line="360" w:lineRule="auto"/>
        <w:rPr>
          <w:rFonts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pPr>
        <w:pStyle w:val="5"/>
        <w:adjustRightInd w:val="0"/>
        <w:snapToGrid w:val="0"/>
        <w:spacing w:before="156" w:beforeLines="50" w:after="0" w:line="360" w:lineRule="auto"/>
        <w:jc w:val="center"/>
        <w:rPr>
          <w:rFonts w:ascii="黑体" w:hAnsi="宋体" w:eastAsia="黑体"/>
          <w:sz w:val="28"/>
          <w:szCs w:val="28"/>
        </w:rPr>
      </w:pPr>
      <w:bookmarkStart w:id="132" w:name="_Toc20651263"/>
      <w:r>
        <w:rPr>
          <w:rFonts w:hint="eastAsia" w:ascii="黑体" w:hAnsi="宋体" w:eastAsia="黑体"/>
          <w:sz w:val="28"/>
          <w:szCs w:val="28"/>
        </w:rPr>
        <w:t>九、采购需求偏离表</w:t>
      </w:r>
      <w:bookmarkEnd w:id="132"/>
    </w:p>
    <w:p>
      <w:pPr>
        <w:adjustRightInd w:val="0"/>
        <w:snapToGrid w:val="0"/>
        <w:spacing w:before="156"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pPr>
        <w:adjustRightInd w:val="0"/>
        <w:snapToGrid w:val="0"/>
        <w:spacing w:before="156" w:beforeLines="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tcBorders>
              <w:right w:val="single" w:color="auto" w:sz="4" w:space="0"/>
            </w:tcBorders>
          </w:tcPr>
          <w:p>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pPr>
              <w:adjustRightInd w:val="0"/>
              <w:snapToGrid w:val="0"/>
              <w:spacing w:before="50" w:line="360" w:lineRule="auto"/>
              <w:jc w:val="center"/>
            </w:pPr>
            <w:r>
              <w:rPr>
                <w:rFonts w:hint="eastAsia"/>
              </w:rPr>
              <w:t>投标文件应答</w:t>
            </w: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pPr>
              <w:adjustRightInd w:val="0"/>
              <w:snapToGrid w:val="0"/>
              <w:spacing w:before="50" w:line="360" w:lineRule="auto"/>
              <w:ind w:left="-88" w:leftChars="-42"/>
              <w:jc w:val="center"/>
              <w:rPr>
                <w:rFonts w:asciiTheme="minorEastAsia" w:hAnsiTheme="minorEastAsia" w:eastAsiaTheme="minorEastAsia"/>
                <w:szCs w:val="21"/>
              </w:rPr>
            </w:pPr>
          </w:p>
        </w:tc>
        <w:tc>
          <w:tcPr>
            <w:tcW w:w="3882" w:type="dxa"/>
            <w:gridSpan w:val="2"/>
            <w:tcBorders>
              <w:left w:val="single" w:color="auto" w:sz="4" w:space="0"/>
            </w:tcBorders>
            <w:vAlign w:val="center"/>
          </w:tcPr>
          <w:p>
            <w:pPr>
              <w:adjustRightInd w:val="0"/>
              <w:snapToGrid w:val="0"/>
              <w:spacing w:before="5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投标人保证：除本采购需求偏离表列出的偏离外，我单位对招标文件的其他采购需求条款完全响应，无偏离。</w:t>
            </w:r>
          </w:p>
        </w:tc>
      </w:tr>
    </w:tbl>
    <w:p>
      <w:pPr>
        <w:adjustRightInd w:val="0"/>
        <w:snapToGrid w:val="0"/>
        <w:spacing w:before="50" w:line="360" w:lineRule="auto"/>
        <w:ind w:left="-88" w:leftChars="-42"/>
        <w:rPr>
          <w:rFonts w:asciiTheme="minorEastAsia" w:hAnsiTheme="minorEastAsia" w:eastAsiaTheme="minorEastAsia"/>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：（1）投标人应根据招标文件第五章“采购需求”填写本表；</w:t>
      </w:r>
    </w:p>
    <w:p>
      <w:pPr>
        <w:adjustRightInd w:val="0"/>
        <w:snapToGrid w:val="0"/>
        <w:spacing w:before="50" w:line="360" w:lineRule="auto"/>
        <w:ind w:left="-88" w:leftChars="-42" w:firstLine="420" w:firstLineChars="200"/>
        <w:rPr>
          <w:rFonts w:asciiTheme="minorEastAsia" w:hAnsiTheme="minorEastAsia" w:eastAsiaTheme="minorEastAsia"/>
          <w:b/>
          <w:color w:val="FF0000"/>
          <w:szCs w:val="21"/>
        </w:rPr>
      </w:pPr>
      <w:r>
        <w:rPr>
          <w:rFonts w:hint="eastAsia" w:asciiTheme="minorEastAsia" w:hAnsiTheme="minorEastAsia" w:eastAsiaTheme="minorEastAsia"/>
          <w:szCs w:val="21"/>
        </w:rPr>
        <w:t>（2）</w:t>
      </w:r>
      <w:r>
        <w:rPr>
          <w:rFonts w:hint="eastAsia" w:asciiTheme="minorEastAsia" w:hAnsiTheme="minorEastAsia" w:eastAsiaTheme="minorEastAsia"/>
          <w:b/>
          <w:szCs w:val="21"/>
        </w:rPr>
        <w:t>投标人如果对招标文件第五章“采购需求”的响应有偏离，应将偏离条款逐条如实应答，并作出说明；</w:t>
      </w:r>
    </w:p>
    <w:p>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（3）如不提供此表，则视为投标人不满足招标文件第五章的所有条款要求，其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pPr>
        <w:adjustRightInd w:val="0"/>
        <w:snapToGrid w:val="0"/>
        <w:spacing w:before="50" w:line="360" w:lineRule="auto"/>
        <w:ind w:left="-88" w:leftChars="-42" w:firstLine="420" w:firstLineChars="200"/>
        <w:rPr>
          <w:rFonts w:asciiTheme="minorEastAsia" w:hAnsiTheme="minorEastAsia" w:eastAsiaTheme="minorEastAsia"/>
          <w:color w:val="FF0000"/>
          <w:szCs w:val="21"/>
        </w:rPr>
      </w:pPr>
      <w:r>
        <w:rPr>
          <w:rFonts w:hint="eastAsia" w:asciiTheme="minorEastAsia" w:hAnsiTheme="minorEastAsia" w:eastAsiaTheme="minorEastAsia"/>
          <w:szCs w:val="21"/>
        </w:rPr>
        <w:t>（5）本表偏离表与本章第七节“采购需求响应”不一致时，以“采购需求响应”为准。</w:t>
      </w:r>
    </w:p>
    <w:p>
      <w:pPr>
        <w:adjustRightInd w:val="0"/>
        <w:snapToGrid w:val="0"/>
        <w:spacing w:before="50" w:line="360" w:lineRule="auto"/>
        <w:rPr>
          <w:rFonts w:asciiTheme="minorEastAsia" w:hAnsiTheme="minorEastAsia" w:eastAsiaTheme="minorEastAsia"/>
          <w:szCs w:val="21"/>
        </w:rPr>
      </w:pPr>
    </w:p>
    <w:p>
      <w:pPr>
        <w:adjustRightInd w:val="0"/>
        <w:snapToGrid w:val="0"/>
        <w:spacing w:before="50" w:line="360" w:lineRule="auto"/>
        <w:rPr>
          <w:rFonts w:ascii="宋体" w:hAnsi="宋体"/>
          <w:szCs w:val="21"/>
        </w:rPr>
      </w:pPr>
    </w:p>
    <w:p>
      <w:pPr>
        <w:adjustRightInd w:val="0"/>
        <w:snapToGrid w:val="0"/>
        <w:spacing w:before="50" w:line="360" w:lineRule="auto"/>
        <w:rPr>
          <w:rFonts w:ascii="宋体" w:hAnsi="宋体"/>
          <w:szCs w:val="21"/>
        </w:rPr>
      </w:pPr>
      <w:r>
        <w:rPr>
          <w:rFonts w:hint="eastAsia" w:ascii="宋体" w:hAnsi="宋体"/>
          <w:szCs w:val="21"/>
        </w:rPr>
        <w:t>投标人名称（盖单位章）：</w:t>
      </w:r>
    </w:p>
    <w:p>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pPr>
        <w:pStyle w:val="5"/>
        <w:adjustRightInd w:val="0"/>
        <w:snapToGrid w:val="0"/>
        <w:spacing w:before="0" w:after="0" w:line="360" w:lineRule="auto"/>
        <w:jc w:val="center"/>
        <w:rPr>
          <w:rFonts w:ascii="宋体" w:hAnsi="宋体"/>
          <w:szCs w:val="21"/>
        </w:rPr>
        <w:sectPr>
          <w:pgSz w:w="11906" w:h="16838"/>
          <w:pgMar w:top="1474" w:right="1474" w:bottom="1474"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宋体" w:hAnsi="宋体"/>
          <w:szCs w:val="21"/>
        </w:rPr>
        <w:br w:type="page"/>
      </w:r>
    </w:p>
    <w:p>
      <w:pPr>
        <w:pStyle w:val="5"/>
        <w:adjustRightInd w:val="0"/>
        <w:snapToGrid w:val="0"/>
        <w:spacing w:before="0" w:after="0" w:line="360" w:lineRule="auto"/>
        <w:jc w:val="center"/>
        <w:rPr>
          <w:rFonts w:ascii="黑体" w:hAnsi="宋体" w:eastAsia="黑体"/>
          <w:sz w:val="28"/>
          <w:szCs w:val="28"/>
        </w:rPr>
      </w:pPr>
      <w:bookmarkStart w:id="133" w:name="_Toc20651264"/>
      <w:r>
        <w:rPr>
          <w:rFonts w:hint="eastAsia" w:ascii="宋体" w:hAnsi="宋体"/>
          <w:szCs w:val="21"/>
        </w:rPr>
        <w:t>十</w:t>
      </w:r>
      <w:r>
        <w:rPr>
          <w:rFonts w:hint="eastAsia" w:ascii="黑体" w:hAnsi="宋体" w:eastAsia="黑体"/>
          <w:sz w:val="28"/>
          <w:szCs w:val="28"/>
        </w:rPr>
        <w:t>、享受采购政策优惠的证明资料</w:t>
      </w:r>
      <w:bookmarkEnd w:id="133"/>
    </w:p>
    <w:p>
      <w:pPr>
        <w:adjustRightInd w:val="0"/>
        <w:snapToGrid w:val="0"/>
        <w:spacing w:line="360" w:lineRule="auto"/>
        <w:rPr>
          <w:rFonts w:ascii="黑体" w:hAnsi="华文中宋" w:eastAsia="黑体" w:cs="宋体"/>
          <w:bCs/>
          <w:spacing w:val="6"/>
          <w:kern w:val="0"/>
          <w:szCs w:val="21"/>
        </w:rPr>
      </w:pPr>
    </w:p>
    <w:p>
      <w:pPr>
        <w:adjustRightInd w:val="0"/>
        <w:snapToGrid w:val="0"/>
        <w:spacing w:line="360" w:lineRule="auto"/>
        <w:ind w:firstLine="444" w:firstLineChars="200"/>
        <w:rPr>
          <w:rFonts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rPr>
        <w:t>投标人符合第二章第33.6款要求的，应提供下列证明资料，并填写相关数据。否则，评审时不予以考虑。</w:t>
      </w:r>
    </w:p>
    <w:p>
      <w:pPr>
        <w:adjustRightInd w:val="0"/>
        <w:snapToGrid w:val="0"/>
        <w:spacing w:line="360" w:lineRule="auto"/>
        <w:rPr>
          <w:rFonts w:ascii="黑体" w:hAnsi="华文中宋" w:eastAsia="黑体" w:cs="宋体"/>
          <w:bCs/>
          <w:spacing w:val="6"/>
          <w:kern w:val="0"/>
          <w:szCs w:val="21"/>
        </w:rPr>
      </w:pPr>
    </w:p>
    <w:p>
      <w:pPr>
        <w:pStyle w:val="6"/>
        <w:rPr>
          <w:rFonts w:ascii="黑体" w:hAnsi="华文中宋" w:cs="宋体"/>
          <w:b w:val="0"/>
          <w:bCs w:val="0"/>
          <w:spacing w:val="6"/>
          <w:kern w:val="0"/>
          <w:sz w:val="21"/>
          <w:szCs w:val="21"/>
        </w:rPr>
      </w:pPr>
      <w:bookmarkStart w:id="134" w:name="_Toc20651265"/>
      <w:r>
        <w:rPr>
          <w:rFonts w:hint="eastAsia" w:ascii="黑体" w:hAnsi="华文中宋" w:cs="宋体"/>
          <w:b w:val="0"/>
          <w:bCs w:val="0"/>
          <w:spacing w:val="6"/>
          <w:kern w:val="0"/>
          <w:sz w:val="21"/>
          <w:szCs w:val="21"/>
        </w:rPr>
        <w:t>附件10-1小型、微型企业声明函</w:t>
      </w:r>
      <w:bookmarkEnd w:id="134"/>
    </w:p>
    <w:p>
      <w:pPr>
        <w:widowControl/>
        <w:adjustRightInd w:val="0"/>
        <w:snapToGrid w:val="0"/>
        <w:spacing w:line="360" w:lineRule="auto"/>
        <w:jc w:val="center"/>
        <w:rPr>
          <w:rFonts w:ascii="黑体" w:hAnsi="黑体" w:eastAsia="黑体" w:cs="宋体"/>
          <w:b/>
          <w:bCs/>
          <w:spacing w:val="6"/>
          <w:kern w:val="0"/>
          <w:sz w:val="28"/>
          <w:szCs w:val="28"/>
        </w:rPr>
      </w:pPr>
      <w:r>
        <w:rPr>
          <w:rFonts w:hint="eastAsia" w:ascii="黑体" w:hAnsi="黑体" w:eastAsia="黑体" w:cs="黑体"/>
          <w:b/>
          <w:bCs/>
          <w:spacing w:val="6"/>
          <w:kern w:val="0"/>
          <w:sz w:val="28"/>
          <w:szCs w:val="28"/>
        </w:rPr>
        <w:t>小型、微型企业</w:t>
      </w:r>
      <w:r>
        <w:rPr>
          <w:rFonts w:hint="eastAsia" w:ascii="黑体" w:hAnsi="黑体" w:eastAsia="黑体" w:cs="宋体"/>
          <w:b/>
          <w:bCs/>
          <w:spacing w:val="6"/>
          <w:kern w:val="0"/>
          <w:sz w:val="28"/>
          <w:szCs w:val="28"/>
        </w:rPr>
        <w:t>声明函</w:t>
      </w:r>
    </w:p>
    <w:p>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pPr>
        <w:widowControl/>
        <w:adjustRightInd w:val="0"/>
        <w:snapToGrid w:val="0"/>
        <w:spacing w:line="360" w:lineRule="auto"/>
        <w:ind w:firstLine="444" w:firstLineChars="200"/>
        <w:jc w:val="left"/>
        <w:rPr>
          <w:rFonts w:ascii="宋体" w:hAnsi="宋体" w:cs="宋体"/>
          <w:spacing w:val="6"/>
          <w:kern w:val="0"/>
          <w:szCs w:val="21"/>
        </w:rPr>
      </w:pPr>
    </w:p>
    <w:p>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本公司郑重声明，根据《政府采购促进中小企业发展暂行办法》（财库[2011]181号）的规定，本公司为</w:t>
      </w:r>
      <w:r>
        <w:rPr>
          <w:rFonts w:hint="eastAsia" w:ascii="宋体" w:hAnsi="宋体" w:cs="宋体"/>
          <w:spacing w:val="6"/>
          <w:kern w:val="0"/>
          <w:szCs w:val="21"/>
          <w:u w:val="single"/>
        </w:rPr>
        <w:t xml:space="preserve">    </w:t>
      </w:r>
      <w:r>
        <w:rPr>
          <w:rFonts w:hint="eastAsia" w:ascii="宋体" w:hAnsi="宋体" w:cs="宋体"/>
          <w:spacing w:val="6"/>
          <w:kern w:val="0"/>
          <w:szCs w:val="21"/>
        </w:rPr>
        <w:t>（请填写：小型、微型）企业。即，本公司同时满足以下条件：</w:t>
      </w:r>
    </w:p>
    <w:p>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1.根据《工业和信息化部、国家统计局、国家发展和改革委员会、财政部关于印发中小企业划型标准规定的通知》（工信部联企业[2011]300号）规定的划分标准，本公司为</w:t>
      </w:r>
      <w:r>
        <w:rPr>
          <w:rFonts w:hint="eastAsia" w:ascii="宋体" w:hAnsi="宋体" w:cs="宋体"/>
          <w:spacing w:val="6"/>
          <w:kern w:val="0"/>
          <w:szCs w:val="21"/>
          <w:u w:val="single"/>
        </w:rPr>
        <w:t xml:space="preserve">     </w:t>
      </w:r>
      <w:r>
        <w:rPr>
          <w:rFonts w:hint="eastAsia" w:ascii="宋体" w:hAnsi="宋体" w:cs="宋体"/>
          <w:spacing w:val="6"/>
          <w:kern w:val="0"/>
          <w:szCs w:val="21"/>
        </w:rPr>
        <w:t>（请填写：小型、微型）企业。</w:t>
      </w:r>
    </w:p>
    <w:p>
      <w:pPr>
        <w:widowControl/>
        <w:adjustRightInd w:val="0"/>
        <w:snapToGrid w:val="0"/>
        <w:spacing w:line="360" w:lineRule="auto"/>
        <w:ind w:firstLine="444" w:firstLineChars="200"/>
        <w:jc w:val="left"/>
        <w:rPr>
          <w:rFonts w:cs="宋体" w:asciiTheme="minorEastAsia" w:hAnsiTheme="minorEastAsia" w:eastAsiaTheme="minorEastAsia"/>
          <w:spacing w:val="6"/>
          <w:kern w:val="0"/>
          <w:szCs w:val="21"/>
        </w:rPr>
      </w:pPr>
      <w:r>
        <w:rPr>
          <w:rFonts w:hint="eastAsia" w:ascii="宋体" w:hAnsi="宋体" w:cs="宋体"/>
          <w:spacing w:val="6"/>
          <w:kern w:val="0"/>
          <w:szCs w:val="21"/>
        </w:rPr>
        <w:t>2.</w:t>
      </w:r>
      <w:r>
        <w:rPr>
          <w:rFonts w:hint="eastAsia" w:cs="宋体" w:asciiTheme="minorEastAsia" w:hAnsiTheme="minorEastAsia" w:eastAsiaTheme="minorEastAsia"/>
          <w:spacing w:val="6"/>
          <w:kern w:val="0"/>
          <w:szCs w:val="21"/>
        </w:rPr>
        <w:t>本公司参加</w:t>
      </w:r>
      <w:r>
        <w:rPr>
          <w:rFonts w:hint="eastAsia" w:cs="宋体" w:asciiTheme="minorEastAsia" w:hAnsiTheme="minorEastAsia" w:eastAsiaTheme="minorEastAsia"/>
          <w:spacing w:val="6"/>
          <w:kern w:val="0"/>
          <w:szCs w:val="21"/>
          <w:u w:val="single"/>
        </w:rPr>
        <w:t xml:space="preserve">            </w:t>
      </w:r>
      <w:r>
        <w:rPr>
          <w:rFonts w:hint="eastAsia" w:cs="宋体" w:asciiTheme="minorEastAsia" w:hAnsiTheme="minorEastAsia" w:eastAsiaTheme="minorEastAsia"/>
          <w:spacing w:val="6"/>
          <w:kern w:val="0"/>
          <w:szCs w:val="21"/>
        </w:rPr>
        <w:t>单位的</w:t>
      </w:r>
      <w:r>
        <w:rPr>
          <w:rFonts w:hint="eastAsia" w:cs="宋体" w:asciiTheme="minorEastAsia" w:hAnsiTheme="minorEastAsia" w:eastAsiaTheme="minorEastAsia"/>
          <w:spacing w:val="6"/>
          <w:kern w:val="0"/>
          <w:szCs w:val="21"/>
          <w:u w:val="single"/>
        </w:rPr>
        <w:t xml:space="preserve">          </w:t>
      </w:r>
      <w:r>
        <w:rPr>
          <w:rFonts w:hint="eastAsia" w:cs="宋体" w:asciiTheme="minorEastAsia" w:hAnsiTheme="minorEastAsia" w:eastAsiaTheme="minorEastAsia"/>
          <w:spacing w:val="6"/>
          <w:kern w:val="0"/>
          <w:szCs w:val="21"/>
        </w:rPr>
        <w:t xml:space="preserve"> 项目采购活动提供由本企业承担工程、提供服务，或者提供本节附页1“价格评审优惠货物清单”中所列货物。本条所称货物不包括使用大型企业注册商标的货物。</w:t>
      </w:r>
    </w:p>
    <w:p>
      <w:pPr>
        <w:widowControl/>
        <w:adjustRightInd w:val="0"/>
        <w:snapToGrid w:val="0"/>
        <w:spacing w:line="360" w:lineRule="auto"/>
        <w:ind w:firstLine="444" w:firstLineChars="200"/>
        <w:jc w:val="left"/>
        <w:rPr>
          <w:rFonts w:ascii="宋体" w:hAnsi="宋体" w:cs="宋体"/>
          <w:spacing w:val="6"/>
          <w:kern w:val="0"/>
          <w:szCs w:val="21"/>
        </w:rPr>
      </w:pPr>
    </w:p>
    <w:p>
      <w:pPr>
        <w:widowControl/>
        <w:adjustRightInd w:val="0"/>
        <w:snapToGrid w:val="0"/>
        <w:spacing w:line="360" w:lineRule="auto"/>
        <w:ind w:firstLine="420" w:firstLineChars="200"/>
        <w:jc w:val="left"/>
        <w:rPr>
          <w:rFonts w:ascii="宋体" w:hAnsi="宋体" w:cs="宋体"/>
          <w:kern w:val="0"/>
          <w:szCs w:val="21"/>
        </w:rPr>
      </w:pPr>
    </w:p>
    <w:p>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本公司对上述声明的真实性负责。如有虚假，将依法承担相应责任。</w:t>
      </w:r>
    </w:p>
    <w:p>
      <w:pPr>
        <w:widowControl/>
        <w:adjustRightInd w:val="0"/>
        <w:snapToGrid w:val="0"/>
        <w:spacing w:line="360" w:lineRule="auto"/>
        <w:ind w:firstLine="420" w:firstLineChars="200"/>
        <w:jc w:val="center"/>
        <w:rPr>
          <w:rFonts w:ascii="宋体" w:hAnsi="宋体" w:cs="宋体"/>
          <w:kern w:val="0"/>
          <w:szCs w:val="21"/>
        </w:rPr>
      </w:pPr>
    </w:p>
    <w:p>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投标人名称（盖单位章）：</w:t>
      </w:r>
      <w:r>
        <w:rPr>
          <w:rFonts w:hint="eastAsia" w:ascii="宋体" w:hAnsi="宋体" w:cs="宋体"/>
          <w:spacing w:val="6"/>
          <w:kern w:val="0"/>
          <w:szCs w:val="21"/>
          <w:u w:val="single"/>
        </w:rPr>
        <w:t xml:space="preserve">           </w:t>
      </w:r>
    </w:p>
    <w:p>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日 期：</w:t>
      </w:r>
      <w:r>
        <w:rPr>
          <w:rFonts w:hint="eastAsia" w:ascii="宋体" w:hAnsi="宋体" w:cs="宋体"/>
          <w:spacing w:val="6"/>
          <w:kern w:val="0"/>
          <w:szCs w:val="21"/>
          <w:u w:val="single"/>
        </w:rPr>
        <w:t xml:space="preserve">              </w:t>
      </w:r>
    </w:p>
    <w:p>
      <w:pPr>
        <w:widowControl/>
        <w:adjustRightInd w:val="0"/>
        <w:snapToGrid w:val="0"/>
        <w:spacing w:line="360" w:lineRule="auto"/>
        <w:ind w:firstLine="446" w:firstLineChars="200"/>
        <w:jc w:val="center"/>
        <w:rPr>
          <w:rFonts w:cs="宋体" w:asciiTheme="minorEastAsia" w:hAnsiTheme="minorEastAsia" w:eastAsiaTheme="minorEastAsia"/>
          <w:b/>
          <w:spacing w:val="6"/>
          <w:kern w:val="0"/>
          <w:szCs w:val="21"/>
          <w:u w:val="single"/>
        </w:rPr>
      </w:pPr>
    </w:p>
    <w:p>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pPr>
        <w:widowControl/>
        <w:jc w:val="left"/>
        <w:rPr>
          <w:rFonts w:ascii="宋体" w:hAnsi="宋体" w:cs="宋体"/>
          <w:spacing w:val="6"/>
          <w:kern w:val="0"/>
          <w:szCs w:val="21"/>
        </w:rPr>
      </w:pPr>
      <w:r>
        <w:rPr>
          <w:rFonts w:ascii="宋体" w:hAnsi="宋体" w:cs="宋体"/>
          <w:spacing w:val="6"/>
          <w:kern w:val="0"/>
          <w:szCs w:val="21"/>
        </w:rPr>
        <w:br w:type="page"/>
      </w:r>
    </w:p>
    <w:p>
      <w:pPr>
        <w:pStyle w:val="6"/>
        <w:adjustRightInd w:val="0"/>
        <w:snapToGrid w:val="0"/>
        <w:spacing w:before="156" w:beforeLines="50" w:after="0" w:line="360" w:lineRule="auto"/>
        <w:jc w:val="left"/>
        <w:rPr>
          <w:rFonts w:ascii="黑体" w:hAnsi="宋体"/>
          <w:b w:val="0"/>
          <w:sz w:val="21"/>
          <w:szCs w:val="21"/>
        </w:rPr>
      </w:pPr>
      <w:bookmarkStart w:id="135" w:name="_Toc20651266"/>
      <w:r>
        <w:rPr>
          <w:rFonts w:hint="eastAsia" w:ascii="黑体" w:hAnsi="华文中宋" w:cs="宋体"/>
          <w:b w:val="0"/>
          <w:bCs w:val="0"/>
          <w:spacing w:val="6"/>
          <w:kern w:val="0"/>
          <w:sz w:val="21"/>
          <w:szCs w:val="21"/>
        </w:rPr>
        <w:t>附页 1</w:t>
      </w:r>
      <w:r>
        <w:rPr>
          <w:rFonts w:hint="eastAsia" w:ascii="黑体" w:hAnsi="宋体"/>
          <w:b w:val="0"/>
          <w:sz w:val="21"/>
          <w:szCs w:val="21"/>
        </w:rPr>
        <w:t>价格评审优惠货物清单</w:t>
      </w:r>
      <w:bookmarkEnd w:id="135"/>
    </w:p>
    <w:p>
      <w:pPr>
        <w:adjustRightInd w:val="0"/>
        <w:snapToGrid w:val="0"/>
        <w:spacing w:before="50" w:line="360" w:lineRule="auto"/>
        <w:jc w:val="center"/>
        <w:rPr>
          <w:rFonts w:asciiTheme="minorEastAsia" w:hAnsiTheme="minorEastAsia" w:eastAsiaTheme="minorEastAsia"/>
          <w:szCs w:val="21"/>
        </w:rPr>
      </w:pPr>
      <w:r>
        <w:rPr>
          <w:rFonts w:hint="eastAsia" w:ascii="黑体" w:hAnsi="宋体" w:eastAsia="黑体"/>
          <w:b/>
          <w:sz w:val="28"/>
          <w:szCs w:val="28"/>
        </w:rPr>
        <w:t>价格评审优惠货物清单</w:t>
      </w:r>
    </w:p>
    <w:p>
      <w:pPr>
        <w:adjustRightInd w:val="0"/>
        <w:snapToGrid w:val="0"/>
        <w:spacing w:before="50" w:line="360" w:lineRule="auto"/>
        <w:rPr>
          <w:rFonts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pPr>
        <w:adjustRightInd w:val="0"/>
        <w:snapToGrid w:val="0"/>
        <w:spacing w:before="50" w:line="360" w:lineRule="auto"/>
        <w:rPr>
          <w:rFonts w:asciiTheme="minorEastAsia" w:hAnsiTheme="minorEastAsia" w:eastAsiaTheme="minorEastAsia"/>
          <w:szCs w:val="21"/>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r>
        <w:rPr>
          <w:rFonts w:hint="eastAsia" w:asciiTheme="minorEastAsia" w:hAnsiTheme="minorEastAsia" w:eastAsiaTheme="minorEastAsia"/>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以下为投标人提供的享受价格评审优惠的货物，投标人对本表的真实性负责。如有虚假，将依法承担相应责任。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p>
        </w:tc>
        <w:tc>
          <w:tcPr>
            <w:tcW w:w="1843" w:type="dxa"/>
          </w:tcPr>
          <w:p>
            <w:pPr>
              <w:adjustRightInd w:val="0"/>
              <w:snapToGrid w:val="0"/>
              <w:spacing w:line="360" w:lineRule="auto"/>
              <w:jc w:val="center"/>
              <w:rPr>
                <w:rFonts w:ascii="宋体" w:hAnsi="宋体"/>
                <w:szCs w:val="21"/>
              </w:rPr>
            </w:pPr>
          </w:p>
        </w:tc>
        <w:tc>
          <w:tcPr>
            <w:tcW w:w="1134" w:type="dxa"/>
            <w:vAlign w:val="center"/>
          </w:tcPr>
          <w:p>
            <w:pPr>
              <w:adjustRightInd w:val="0"/>
              <w:snapToGrid w:val="0"/>
              <w:spacing w:line="360" w:lineRule="auto"/>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pPr>
              <w:adjustRightInd w:val="0"/>
              <w:snapToGrid w:val="0"/>
              <w:spacing w:line="360" w:lineRule="auto"/>
              <w:jc w:val="center"/>
              <w:rPr>
                <w:rFonts w:ascii="宋体" w:hAnsi="宋体"/>
                <w:szCs w:val="21"/>
              </w:rPr>
            </w:pPr>
          </w:p>
        </w:tc>
        <w:tc>
          <w:tcPr>
            <w:tcW w:w="1701" w:type="dxa"/>
            <w:vAlign w:val="center"/>
          </w:tcPr>
          <w:p>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pPr>
              <w:adjustRightInd w:val="0"/>
              <w:snapToGrid w:val="0"/>
              <w:spacing w:line="360" w:lineRule="auto"/>
              <w:jc w:val="center"/>
              <w:rPr>
                <w:rFonts w:ascii="宋体" w:hAnsi="宋体"/>
                <w:szCs w:val="21"/>
              </w:rPr>
            </w:pPr>
            <w:r>
              <w:rPr>
                <w:rFonts w:hint="eastAsia" w:ascii="宋体" w:hAnsi="宋体"/>
                <w:b/>
                <w:szCs w:val="21"/>
              </w:rPr>
              <w:t>/</w:t>
            </w:r>
          </w:p>
        </w:tc>
      </w:tr>
    </w:tbl>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说明：1、本清单用于计算采购价格评审优惠应享受的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pPr>
        <w:adjustRightInd w:val="0"/>
        <w:snapToGrid w:val="0"/>
        <w:spacing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2、栏目4“价格”为综合单价，包含该货物所有隐含的内容，如运输费、保险费、安装调试费、管理费和利润等。</w:t>
      </w:r>
    </w:p>
    <w:p>
      <w:pPr>
        <w:adjustRightInd w:val="0"/>
        <w:snapToGrid w:val="0"/>
        <w:spacing w:line="360" w:lineRule="auto"/>
        <w:ind w:firstLine="630" w:firstLineChars="300"/>
        <w:rPr>
          <w:rFonts w:asciiTheme="minorEastAsia" w:hAnsiTheme="minorEastAsia" w:eastAsiaTheme="minorEastAsia"/>
          <w:b/>
          <w:szCs w:val="21"/>
        </w:rPr>
      </w:pPr>
      <w:r>
        <w:rPr>
          <w:rFonts w:hint="eastAsia" w:asciiTheme="minorEastAsia" w:hAnsiTheme="minorEastAsia" w:eastAsiaTheme="minorEastAsia"/>
          <w:szCs w:val="21"/>
        </w:rPr>
        <w:t>3、</w:t>
      </w:r>
      <w:r>
        <w:rPr>
          <w:rFonts w:hint="eastAsia" w:asciiTheme="minorEastAsia" w:hAnsiTheme="minorEastAsia" w:eastAsiaTheme="minorEastAsia"/>
          <w:bCs/>
          <w:szCs w:val="21"/>
        </w:rPr>
        <w:t>投标人在投标截止时间前修改“开标一览表”中的投标报价的，应按第二章第13.7款规定修改本表相应内容。否则，评审时涉及本表所有优惠不予以考虑。</w:t>
      </w:r>
    </w:p>
    <w:p>
      <w:pPr>
        <w:adjustRightInd w:val="0"/>
        <w:snapToGrid w:val="0"/>
        <w:spacing w:line="360" w:lineRule="auto"/>
        <w:ind w:firstLine="630" w:firstLineChars="300"/>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ascii="黑体" w:hAnsi="华文中宋" w:eastAsia="黑体" w:cs="宋体"/>
          <w:spacing w:val="6"/>
          <w:kern w:val="0"/>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黑体" w:hAnsi="华文中宋" w:cs="宋体"/>
          <w:b/>
          <w:bCs/>
          <w:spacing w:val="6"/>
          <w:kern w:val="0"/>
          <w:szCs w:val="21"/>
        </w:rPr>
        <w:br w:type="page"/>
      </w:r>
    </w:p>
    <w:p>
      <w:pPr>
        <w:pStyle w:val="6"/>
        <w:rPr>
          <w:rFonts w:ascii="黑体" w:hAnsi="宋体"/>
          <w:b w:val="0"/>
          <w:spacing w:val="6"/>
          <w:sz w:val="21"/>
          <w:szCs w:val="21"/>
        </w:rPr>
      </w:pPr>
      <w:bookmarkStart w:id="136" w:name="_Toc20651267"/>
      <w:r>
        <w:rPr>
          <w:rFonts w:hint="eastAsia" w:ascii="黑体" w:hAnsi="华文中宋" w:cs="宋体"/>
          <w:b w:val="0"/>
          <w:bCs w:val="0"/>
          <w:spacing w:val="6"/>
          <w:kern w:val="0"/>
          <w:sz w:val="21"/>
          <w:szCs w:val="21"/>
        </w:rPr>
        <w:t xml:space="preserve">附件10-2 </w:t>
      </w:r>
      <w:r>
        <w:rPr>
          <w:rFonts w:hint="eastAsia" w:ascii="黑体" w:hAnsi="宋体"/>
          <w:b w:val="0"/>
          <w:spacing w:val="6"/>
          <w:sz w:val="21"/>
          <w:szCs w:val="21"/>
        </w:rPr>
        <w:t>残疾人福利性单位声明函</w:t>
      </w:r>
      <w:bookmarkEnd w:id="136"/>
    </w:p>
    <w:p>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pPr>
        <w:adjustRightInd w:val="0"/>
        <w:snapToGrid w:val="0"/>
        <w:spacing w:line="360" w:lineRule="auto"/>
        <w:ind w:firstLine="444" w:firstLineChars="200"/>
        <w:rPr>
          <w:rFonts w:ascii="宋体" w:hAnsi="宋体"/>
          <w:spacing w:val="6"/>
          <w:szCs w:val="21"/>
        </w:rPr>
      </w:pPr>
    </w:p>
    <w:p>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pPr>
        <w:adjustRightInd w:val="0"/>
        <w:snapToGrid w:val="0"/>
        <w:spacing w:line="360" w:lineRule="auto"/>
        <w:ind w:firstLine="444" w:firstLineChars="200"/>
        <w:rPr>
          <w:rFonts w:ascii="宋体" w:hAnsi="宋体"/>
          <w:spacing w:val="6"/>
          <w:szCs w:val="21"/>
        </w:rPr>
      </w:pPr>
    </w:p>
    <w:p>
      <w:pPr>
        <w:adjustRightInd w:val="0"/>
        <w:snapToGrid w:val="0"/>
        <w:spacing w:line="360" w:lineRule="auto"/>
        <w:ind w:firstLine="444" w:firstLineChars="200"/>
        <w:rPr>
          <w:rFonts w:ascii="宋体" w:hAnsi="宋体"/>
          <w:spacing w:val="6"/>
          <w:szCs w:val="21"/>
        </w:rPr>
      </w:pPr>
    </w:p>
    <w:p>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pPr>
        <w:widowControl/>
        <w:adjustRightInd w:val="0"/>
        <w:snapToGrid w:val="0"/>
        <w:spacing w:line="360" w:lineRule="auto"/>
        <w:jc w:val="left"/>
        <w:rPr>
          <w:rFonts w:ascii="宋体" w:hAnsi="宋体" w:cs="宋体"/>
          <w:kern w:val="0"/>
          <w:szCs w:val="21"/>
        </w:rPr>
      </w:pPr>
    </w:p>
    <w:p>
      <w:pPr>
        <w:widowControl/>
        <w:jc w:val="left"/>
        <w:rPr>
          <w:rFonts w:ascii="黑体" w:hAnsi="华文中宋" w:eastAsia="黑体" w:cs="宋体"/>
          <w:spacing w:val="6"/>
          <w:kern w:val="0"/>
          <w:szCs w:val="21"/>
        </w:rPr>
      </w:pPr>
      <w:r>
        <w:rPr>
          <w:rFonts w:ascii="黑体" w:hAnsi="华文中宋" w:cs="宋体"/>
          <w:b/>
          <w:bCs/>
          <w:spacing w:val="6"/>
          <w:kern w:val="0"/>
          <w:szCs w:val="21"/>
        </w:rPr>
        <w:br w:type="page"/>
      </w:r>
    </w:p>
    <w:p>
      <w:pPr>
        <w:pStyle w:val="6"/>
        <w:rPr>
          <w:rFonts w:ascii="黑体" w:hAnsi="宋体"/>
          <w:b w:val="0"/>
          <w:sz w:val="21"/>
          <w:szCs w:val="21"/>
        </w:rPr>
      </w:pPr>
      <w:bookmarkStart w:id="137" w:name="_Toc20651268"/>
      <w:r>
        <w:rPr>
          <w:rFonts w:hint="eastAsia" w:ascii="黑体" w:hAnsi="宋体" w:cs="宋体"/>
          <w:b w:val="0"/>
          <w:kern w:val="0"/>
          <w:sz w:val="21"/>
          <w:szCs w:val="21"/>
        </w:rPr>
        <w:t xml:space="preserve">附件10-3 </w:t>
      </w:r>
      <w:r>
        <w:rPr>
          <w:rFonts w:hint="eastAsia" w:ascii="黑体" w:hAnsi="宋体"/>
          <w:b w:val="0"/>
          <w:sz w:val="21"/>
          <w:szCs w:val="21"/>
        </w:rPr>
        <w:t>监狱企业证明资料</w:t>
      </w:r>
      <w:bookmarkEnd w:id="137"/>
    </w:p>
    <w:p>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pPr>
        <w:adjustRightInd w:val="0"/>
        <w:snapToGrid w:val="0"/>
        <w:spacing w:line="360" w:lineRule="auto"/>
        <w:rPr>
          <w:rFonts w:asciiTheme="minorEastAsia" w:hAnsiTheme="minorEastAsia" w:eastAsiaTheme="minorEastAsia"/>
          <w:szCs w:val="21"/>
        </w:rPr>
      </w:pPr>
    </w:p>
    <w:p>
      <w:pPr>
        <w:adjustRightInd w:val="0"/>
        <w:snapToGrid w:val="0"/>
        <w:spacing w:line="360" w:lineRule="auto"/>
        <w:ind w:firstLine="444" w:firstLineChars="200"/>
        <w:rPr>
          <w:rFonts w:asciiTheme="minorEastAsia" w:hAnsiTheme="minorEastAsia" w:eastAsiaTheme="minorEastAsia"/>
          <w:szCs w:val="21"/>
        </w:rPr>
      </w:pPr>
      <w:r>
        <w:rPr>
          <w:rFonts w:hint="eastAsia" w:cs="宋体" w:asciiTheme="minorEastAsia" w:hAnsiTheme="minorEastAsia" w:eastAsiaTheme="minorEastAsia"/>
          <w:bCs/>
          <w:spacing w:val="6"/>
          <w:kern w:val="0"/>
          <w:szCs w:val="21"/>
        </w:rPr>
        <w:t>备注：</w:t>
      </w:r>
      <w:r>
        <w:rPr>
          <w:rFonts w:hint="eastAsia" w:asciiTheme="minorEastAsia" w:hAnsiTheme="minorEastAsia" w:eastAsiaTheme="minorEastAsia"/>
          <w:szCs w:val="21"/>
        </w:rPr>
        <w:t>按</w:t>
      </w:r>
      <w:r>
        <w:rPr>
          <w:rFonts w:hint="eastAsia" w:ascii="宋体" w:hAnsi="宋体"/>
          <w:spacing w:val="6"/>
          <w:szCs w:val="21"/>
        </w:rPr>
        <w:t>《</w:t>
      </w:r>
      <w:r>
        <w:rPr>
          <w:rFonts w:hint="eastAsia" w:asciiTheme="minorEastAsia" w:hAnsiTheme="minorEastAsia" w:eastAsiaTheme="minorEastAsia"/>
          <w:szCs w:val="21"/>
        </w:rPr>
        <w:t>财政部 司法部关于政府采购支持监狱企业发展有关问题的通知</w:t>
      </w:r>
      <w:r>
        <w:rPr>
          <w:rFonts w:hint="eastAsia" w:ascii="宋体" w:hAnsi="宋体"/>
          <w:spacing w:val="6"/>
          <w:szCs w:val="21"/>
        </w:rPr>
        <w:t>》</w:t>
      </w:r>
      <w:r>
        <w:rPr>
          <w:rFonts w:hint="eastAsia" w:asciiTheme="minorEastAsia" w:hAnsiTheme="minorEastAsia" w:eastAsiaTheme="minorEastAsia"/>
          <w:szCs w:val="21"/>
        </w:rPr>
        <w:t>(财库〔2014〕68号)文件规定提供证明文件（复印件）。</w:t>
      </w:r>
    </w:p>
    <w:p>
      <w:pPr>
        <w:adjustRightInd w:val="0"/>
        <w:snapToGrid w:val="0"/>
        <w:spacing w:line="360" w:lineRule="auto"/>
        <w:rPr>
          <w:rFonts w:ascii="黑体" w:hAnsi="华文中宋" w:eastAsia="黑体" w:cs="宋体"/>
          <w:bCs/>
          <w:spacing w:val="6"/>
          <w:kern w:val="0"/>
          <w:szCs w:val="21"/>
        </w:rPr>
      </w:pPr>
      <w:r>
        <w:rPr>
          <w:rFonts w:ascii="黑体" w:hAnsi="华文中宋" w:eastAsia="黑体" w:cs="宋体"/>
          <w:bCs/>
          <w:spacing w:val="6"/>
          <w:kern w:val="0"/>
          <w:szCs w:val="21"/>
        </w:rPr>
        <w:br w:type="page"/>
      </w:r>
    </w:p>
    <w:p>
      <w:pPr>
        <w:pStyle w:val="6"/>
        <w:rPr>
          <w:rFonts w:ascii="黑体" w:hAnsi="宋体"/>
          <w:b w:val="0"/>
          <w:sz w:val="21"/>
          <w:szCs w:val="21"/>
        </w:rPr>
      </w:pPr>
      <w:bookmarkStart w:id="138" w:name="_Toc20651269"/>
      <w:r>
        <w:rPr>
          <w:rFonts w:hint="eastAsia" w:ascii="黑体" w:hAnsi="华文中宋" w:cs="宋体"/>
          <w:b w:val="0"/>
          <w:bCs w:val="0"/>
          <w:spacing w:val="6"/>
          <w:kern w:val="0"/>
          <w:sz w:val="21"/>
          <w:szCs w:val="21"/>
        </w:rPr>
        <w:t xml:space="preserve">附件10-4 </w:t>
      </w:r>
      <w:r>
        <w:rPr>
          <w:rFonts w:hint="eastAsia" w:ascii="黑体" w:hAnsi="宋体"/>
          <w:b w:val="0"/>
          <w:sz w:val="21"/>
          <w:szCs w:val="21"/>
        </w:rPr>
        <w:t>强制采购或者优先采购产品</w:t>
      </w:r>
      <w:r>
        <w:rPr>
          <w:rFonts w:hint="eastAsia" w:ascii="黑体" w:hAnsi="宋体"/>
          <w:b w:val="0"/>
          <w:bCs w:val="0"/>
          <w:sz w:val="21"/>
          <w:szCs w:val="21"/>
        </w:rPr>
        <w:t>的</w:t>
      </w:r>
      <w:r>
        <w:rPr>
          <w:rFonts w:hint="eastAsia" w:ascii="黑体" w:hAnsi="宋体"/>
          <w:b w:val="0"/>
          <w:sz w:val="21"/>
          <w:szCs w:val="21"/>
        </w:rPr>
        <w:t>证明材料</w:t>
      </w:r>
      <w:bookmarkEnd w:id="138"/>
    </w:p>
    <w:p>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pPr>
        <w:adjustRightInd w:val="0"/>
        <w:snapToGrid w:val="0"/>
        <w:spacing w:line="360" w:lineRule="auto"/>
        <w:ind w:firstLine="420" w:firstLineChars="200"/>
        <w:jc w:val="left"/>
        <w:rPr>
          <w:rFonts w:asciiTheme="minorEastAsia" w:hAnsiTheme="minorEastAsia" w:eastAsiaTheme="minorEastAsia"/>
          <w:szCs w:val="21"/>
        </w:rPr>
      </w:pPr>
    </w:p>
    <w:p>
      <w:pPr>
        <w:adjustRightInd w:val="0"/>
        <w:snapToGri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说明：投标人提供的产品</w:t>
      </w:r>
      <w:r>
        <w:rPr>
          <w:rFonts w:hint="eastAsia" w:asciiTheme="minorEastAsia" w:hAnsiTheme="minorEastAsia" w:eastAsiaTheme="minorEastAsia"/>
          <w:bCs/>
          <w:szCs w:val="21"/>
        </w:rPr>
        <w:t>属于强制采购或者优先采购的</w:t>
      </w:r>
      <w:r>
        <w:rPr>
          <w:rFonts w:hint="eastAsia" w:asciiTheme="minorEastAsia" w:hAnsiTheme="minorEastAsia" w:eastAsiaTheme="minorEastAsia"/>
          <w:szCs w:val="21"/>
        </w:rPr>
        <w:t>，应按第二章第33.6款规定提供证明材料和本章本节附页2“优先采购产品清单”，并加盖投标人单位章。</w:t>
      </w:r>
    </w:p>
    <w:p>
      <w:pPr>
        <w:adjustRightInd w:val="0"/>
        <w:snapToGrid w:val="0"/>
        <w:spacing w:line="360" w:lineRule="auto"/>
        <w:ind w:firstLine="420" w:firstLineChars="200"/>
        <w:jc w:val="left"/>
        <w:rPr>
          <w:rFonts w:asciiTheme="minorEastAsia" w:hAnsiTheme="minorEastAsia" w:eastAsiaTheme="minorEastAsia"/>
          <w:szCs w:val="21"/>
        </w:rPr>
      </w:pPr>
    </w:p>
    <w:p>
      <w:pPr>
        <w:adjustRightInd w:val="0"/>
        <w:snapToGrid w:val="0"/>
        <w:spacing w:line="360" w:lineRule="auto"/>
        <w:rPr>
          <w:rFonts w:ascii="黑体" w:hAnsi="宋体" w:eastAsia="黑体"/>
          <w:color w:val="000000"/>
          <w:szCs w:val="21"/>
        </w:rPr>
      </w:pPr>
      <w:r>
        <w:rPr>
          <w:rFonts w:ascii="黑体" w:hAnsi="宋体" w:eastAsia="黑体"/>
          <w:b/>
          <w:sz w:val="28"/>
          <w:szCs w:val="28"/>
        </w:rPr>
        <w:br w:type="page"/>
      </w:r>
    </w:p>
    <w:p>
      <w:pPr>
        <w:pStyle w:val="6"/>
        <w:jc w:val="left"/>
        <w:rPr>
          <w:rFonts w:ascii="黑体" w:hAnsi="宋体"/>
          <w:b w:val="0"/>
          <w:sz w:val="21"/>
          <w:szCs w:val="21"/>
        </w:rPr>
      </w:pPr>
      <w:bookmarkStart w:id="139" w:name="_Toc20651270"/>
      <w:r>
        <w:rPr>
          <w:rFonts w:hint="eastAsia" w:ascii="黑体" w:hAnsi="华文中宋" w:cs="宋体"/>
          <w:b w:val="0"/>
          <w:bCs w:val="0"/>
          <w:spacing w:val="6"/>
          <w:kern w:val="0"/>
          <w:sz w:val="21"/>
          <w:szCs w:val="21"/>
        </w:rPr>
        <w:t xml:space="preserve">附页 2 </w:t>
      </w:r>
      <w:r>
        <w:rPr>
          <w:rFonts w:hint="eastAsia" w:ascii="黑体" w:hAnsi="宋体"/>
          <w:b w:val="0"/>
          <w:sz w:val="21"/>
          <w:szCs w:val="21"/>
        </w:rPr>
        <w:t>优先采购产品清单</w:t>
      </w:r>
      <w:bookmarkEnd w:id="139"/>
    </w:p>
    <w:p>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r>
        <w:rPr>
          <w:rFonts w:hint="eastAsia" w:asciiTheme="minorEastAsia" w:hAnsiTheme="minorEastAsia" w:eastAsiaTheme="minorEastAsia"/>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w:t>
            </w:r>
          </w:p>
        </w:tc>
        <w:tc>
          <w:tcPr>
            <w:tcW w:w="1134" w:type="dxa"/>
            <w:tcBorders>
              <w:right w:val="single" w:color="auto" w:sz="4" w:space="0"/>
            </w:tcBorders>
            <w:vAlign w:val="center"/>
          </w:tcPr>
          <w:p>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1418" w:type="dxa"/>
            <w:tcBorders>
              <w:left w:val="single" w:color="auto" w:sz="4" w:space="0"/>
            </w:tcBorders>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1984"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843"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货物名称</w:t>
            </w:r>
          </w:p>
        </w:tc>
        <w:tc>
          <w:tcPr>
            <w:tcW w:w="1134" w:type="dxa"/>
            <w:tcBorders>
              <w:right w:val="single" w:color="auto" w:sz="4" w:space="0"/>
            </w:tcBorders>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规格型号</w:t>
            </w:r>
          </w:p>
        </w:tc>
        <w:tc>
          <w:tcPr>
            <w:tcW w:w="1418" w:type="dxa"/>
            <w:tcBorders>
              <w:left w:val="single" w:color="auto" w:sz="4" w:space="0"/>
            </w:tcBorders>
            <w:vAlign w:val="center"/>
          </w:tcPr>
          <w:p>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价格（元）</w:t>
            </w:r>
          </w:p>
        </w:tc>
        <w:tc>
          <w:tcPr>
            <w:tcW w:w="1984"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货物制造商名称</w:t>
            </w:r>
          </w:p>
        </w:tc>
        <w:tc>
          <w:tcPr>
            <w:tcW w:w="1843" w:type="dxa"/>
            <w:vAlign w:val="center"/>
          </w:tcPr>
          <w:p>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政策功能编码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节能产品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b/>
                <w:szCs w:val="21"/>
              </w:rPr>
            </w:pPr>
          </w:p>
        </w:tc>
        <w:tc>
          <w:tcPr>
            <w:tcW w:w="1739" w:type="dxa"/>
            <w:vAlign w:val="center"/>
          </w:tcPr>
          <w:p>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984" w:type="dxa"/>
            <w:vAlign w:val="center"/>
          </w:tcPr>
          <w:p>
            <w:pPr>
              <w:adjustRightInd w:val="0"/>
              <w:snapToGrid w:val="0"/>
              <w:spacing w:line="360" w:lineRule="auto"/>
              <w:jc w:val="center"/>
              <w:rPr>
                <w:rFonts w:asciiTheme="minorEastAsia" w:hAnsiTheme="minorEastAsia" w:eastAsiaTheme="minorEastAsia"/>
                <w:b/>
                <w:szCs w:val="21"/>
              </w:rPr>
            </w:pPr>
          </w:p>
        </w:tc>
        <w:tc>
          <w:tcPr>
            <w:tcW w:w="1843" w:type="dxa"/>
          </w:tcPr>
          <w:p>
            <w:pPr>
              <w:adjustRightInd w:val="0"/>
              <w:snapToGrid w:val="0"/>
              <w:spacing w:line="360" w:lineRule="auto"/>
              <w:jc w:val="center"/>
              <w:rPr>
                <w:rFonts w:asciiTheme="minorEastAsia" w:hAnsiTheme="minorEastAsia" w:eastAsiaTheme="minorEastAsia"/>
                <w:b/>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984"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环境标志产品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b/>
                <w:szCs w:val="21"/>
              </w:rPr>
            </w:pPr>
          </w:p>
        </w:tc>
        <w:tc>
          <w:tcPr>
            <w:tcW w:w="1739" w:type="dxa"/>
            <w:vAlign w:val="center"/>
          </w:tcPr>
          <w:p>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984" w:type="dxa"/>
            <w:vAlign w:val="center"/>
          </w:tcPr>
          <w:p>
            <w:pPr>
              <w:adjustRightInd w:val="0"/>
              <w:snapToGrid w:val="0"/>
              <w:spacing w:line="360" w:lineRule="auto"/>
              <w:jc w:val="center"/>
              <w:rPr>
                <w:rFonts w:asciiTheme="minorEastAsia" w:hAnsiTheme="minorEastAsia" w:eastAsiaTheme="minorEastAsia"/>
                <w:b/>
                <w:szCs w:val="21"/>
              </w:rPr>
            </w:pPr>
          </w:p>
        </w:tc>
        <w:tc>
          <w:tcPr>
            <w:tcW w:w="1843" w:type="dxa"/>
          </w:tcPr>
          <w:p>
            <w:pPr>
              <w:adjustRightInd w:val="0"/>
              <w:snapToGrid w:val="0"/>
              <w:spacing w:line="360" w:lineRule="auto"/>
              <w:jc w:val="center"/>
              <w:rPr>
                <w:rFonts w:asciiTheme="minorEastAsia" w:hAnsiTheme="minorEastAsia" w:eastAsiaTheme="minorEastAsia"/>
                <w:b/>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pPr>
              <w:adjustRightInd w:val="0"/>
              <w:snapToGrid w:val="0"/>
              <w:spacing w:line="360" w:lineRule="auto"/>
              <w:jc w:val="left"/>
              <w:rPr>
                <w:rFonts w:asciiTheme="minorEastAsia" w:hAnsiTheme="minorEastAsia" w:eastAsiaTheme="minorEastAsia"/>
                <w:b/>
                <w:szCs w:val="21"/>
              </w:rPr>
            </w:pPr>
          </w:p>
        </w:tc>
        <w:tc>
          <w:tcPr>
            <w:tcW w:w="1984" w:type="dxa"/>
            <w:vAlign w:val="center"/>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两型产品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szCs w:val="21"/>
              </w:rPr>
            </w:pPr>
          </w:p>
        </w:tc>
        <w:tc>
          <w:tcPr>
            <w:tcW w:w="1739" w:type="dxa"/>
            <w:vAlign w:val="center"/>
          </w:tcPr>
          <w:p>
            <w:pPr>
              <w:adjustRightInd w:val="0"/>
              <w:snapToGrid w:val="0"/>
              <w:spacing w:line="360" w:lineRule="auto"/>
              <w:jc w:val="center"/>
              <w:rPr>
                <w:rFonts w:asciiTheme="minorEastAsia" w:hAnsiTheme="minorEastAsia" w:eastAsiaTheme="minorEastAsia"/>
                <w:szCs w:val="21"/>
              </w:rPr>
            </w:pPr>
          </w:p>
        </w:tc>
        <w:tc>
          <w:tcPr>
            <w:tcW w:w="1134" w:type="dxa"/>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rPr>
            </w:pPr>
          </w:p>
        </w:tc>
        <w:tc>
          <w:tcPr>
            <w:tcW w:w="1418" w:type="dxa"/>
            <w:tcBorders>
              <w:left w:val="single" w:color="auto" w:sz="4" w:space="0"/>
            </w:tcBorders>
            <w:vAlign w:val="center"/>
          </w:tcPr>
          <w:p>
            <w:pPr>
              <w:adjustRightInd w:val="0"/>
              <w:snapToGrid w:val="0"/>
              <w:spacing w:line="360" w:lineRule="auto"/>
              <w:jc w:val="center"/>
              <w:rPr>
                <w:rFonts w:asciiTheme="minorEastAsia" w:hAnsiTheme="minorEastAsia" w:eastAsiaTheme="minorEastAsia"/>
                <w:szCs w:val="21"/>
              </w:rPr>
            </w:pPr>
          </w:p>
        </w:tc>
        <w:tc>
          <w:tcPr>
            <w:tcW w:w="1984" w:type="dxa"/>
            <w:vAlign w:val="center"/>
          </w:tcPr>
          <w:p>
            <w:pPr>
              <w:adjustRightInd w:val="0"/>
              <w:snapToGrid w:val="0"/>
              <w:spacing w:line="360" w:lineRule="auto"/>
              <w:jc w:val="center"/>
              <w:rPr>
                <w:rFonts w:asciiTheme="minorEastAsia" w:hAnsiTheme="minorEastAsia" w:eastAsiaTheme="minorEastAsia"/>
                <w:szCs w:val="21"/>
              </w:rPr>
            </w:pPr>
          </w:p>
        </w:tc>
        <w:tc>
          <w:tcPr>
            <w:tcW w:w="1843" w:type="dxa"/>
          </w:tcPr>
          <w:p>
            <w:pPr>
              <w:adjustRightInd w:val="0"/>
              <w:snapToGrid w:val="0"/>
              <w:spacing w:line="360" w:lineRule="auto"/>
              <w:jc w:val="center"/>
              <w:rPr>
                <w:rFonts w:asciiTheme="minorEastAsia" w:hAnsiTheme="minorEastAsia" w:eastAsiaTheme="minorEastAsia"/>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w:t>
            </w:r>
          </w:p>
        </w:tc>
        <w:tc>
          <w:tcPr>
            <w:tcW w:w="1134" w:type="dxa"/>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rPr>
            </w:pPr>
          </w:p>
        </w:tc>
        <w:tc>
          <w:tcPr>
            <w:tcW w:w="1418" w:type="dxa"/>
            <w:tcBorders>
              <w:left w:val="single" w:color="auto" w:sz="4" w:space="0"/>
            </w:tcBorders>
            <w:vAlign w:val="center"/>
          </w:tcPr>
          <w:p>
            <w:pPr>
              <w:adjustRightInd w:val="0"/>
              <w:snapToGrid w:val="0"/>
              <w:spacing w:line="360" w:lineRule="auto"/>
              <w:jc w:val="center"/>
              <w:rPr>
                <w:rFonts w:asciiTheme="minorEastAsia" w:hAnsiTheme="minorEastAsia" w:eastAsiaTheme="minorEastAsia"/>
                <w:szCs w:val="21"/>
              </w:rPr>
            </w:pPr>
          </w:p>
        </w:tc>
        <w:tc>
          <w:tcPr>
            <w:tcW w:w="1984" w:type="dxa"/>
            <w:vAlign w:val="center"/>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w:t>
            </w:r>
          </w:p>
        </w:tc>
        <w:tc>
          <w:tcPr>
            <w:tcW w:w="1843" w:type="dxa"/>
          </w:tcPr>
          <w:p>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w:t>
            </w:r>
          </w:p>
        </w:tc>
      </w:tr>
    </w:tbl>
    <w:p>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说明：</w:t>
      </w:r>
      <w:r>
        <w:rPr>
          <w:rFonts w:hint="eastAsia" w:asciiTheme="minorEastAsia" w:hAnsiTheme="minorEastAsia" w:eastAsiaTheme="minorEastAsia"/>
          <w:bCs/>
          <w:szCs w:val="21"/>
        </w:rPr>
        <w:t>1、</w:t>
      </w:r>
      <w:r>
        <w:rPr>
          <w:rFonts w:hint="eastAsia" w:asciiTheme="minorEastAsia" w:hAnsiTheme="minorEastAsia" w:eastAsiaTheme="minorEastAsia"/>
          <w:szCs w:val="21"/>
        </w:rPr>
        <w:t>本表用于计算政府采购优先采购产品（节能产品或环境标志产品或两型产品）的政府采购政策加分或者价格扣除。</w:t>
      </w:r>
    </w:p>
    <w:p>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2、栏目4“价格”为综合单价，包含货物所有隐含的内容，如运输费、保险费、管理费和利润等。</w:t>
      </w:r>
    </w:p>
    <w:p>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3、栏目6“政策功能编码”是指货物的中国环境标志认证证书编号、中国节能标志认证证书号、湖南两型产品编号（货物同时属于节能产品、环境标志产品、两型产品的，只须填写一种）。</w:t>
      </w:r>
    </w:p>
    <w:p>
      <w:pPr>
        <w:adjustRightInd w:val="0"/>
        <w:snapToGrid w:val="0"/>
        <w:spacing w:line="360" w:lineRule="auto"/>
        <w:ind w:firstLine="630" w:firstLineChars="300"/>
        <w:rPr>
          <w:rFonts w:asciiTheme="minorEastAsia" w:hAnsiTheme="minorEastAsia" w:eastAsiaTheme="minorEastAsia"/>
          <w:bCs/>
          <w:szCs w:val="21"/>
        </w:rPr>
      </w:pPr>
      <w:r>
        <w:rPr>
          <w:rFonts w:hint="eastAsia" w:asciiTheme="minorEastAsia" w:hAnsiTheme="minorEastAsia" w:eastAsiaTheme="minorEastAsia"/>
          <w:bCs/>
          <w:szCs w:val="21"/>
        </w:rPr>
        <w:t>4、投标人在投标截止时间前修改“开标一览表”中的投标报价的，应按第二章第13.7款规定修改本表相应内容。否则，评审时涉及本表所有优惠不予以考虑。</w:t>
      </w: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rPr>
          <w:rFonts w:ascii="宋体" w:hAnsi="宋体"/>
          <w:b/>
          <w:bCs/>
          <w:sz w:val="32"/>
          <w:szCs w:val="21"/>
        </w:rPr>
      </w:pPr>
      <w:r>
        <w:rPr>
          <w:rFonts w:hint="eastAsia"/>
        </w:rPr>
        <w:t>日期：        年    月   日</w:t>
      </w:r>
      <w:r>
        <w:rPr>
          <w:rFonts w:ascii="宋体" w:hAnsi="宋体"/>
          <w:szCs w:val="21"/>
        </w:rPr>
        <w:br w:type="page"/>
      </w:r>
    </w:p>
    <w:p>
      <w:pPr>
        <w:pStyle w:val="5"/>
        <w:adjustRightInd w:val="0"/>
        <w:snapToGrid w:val="0"/>
        <w:spacing w:before="0" w:after="0" w:line="360" w:lineRule="auto"/>
        <w:jc w:val="center"/>
        <w:rPr>
          <w:rFonts w:ascii="黑体" w:hAnsi="宋体" w:eastAsia="黑体"/>
          <w:sz w:val="28"/>
          <w:szCs w:val="28"/>
        </w:rPr>
      </w:pPr>
      <w:bookmarkStart w:id="140" w:name="_Toc20651271"/>
      <w:r>
        <w:rPr>
          <w:rFonts w:hint="eastAsia" w:ascii="黑体" w:hAnsi="宋体" w:eastAsia="黑体"/>
          <w:sz w:val="28"/>
          <w:szCs w:val="28"/>
        </w:rPr>
        <w:t>十一、投标货物符合招标文件规定的证明文件</w:t>
      </w:r>
      <w:bookmarkEnd w:id="140"/>
    </w:p>
    <w:p>
      <w:pPr>
        <w:adjustRightInd w:val="0"/>
        <w:snapToGrid w:val="0"/>
        <w:spacing w:line="360" w:lineRule="auto"/>
        <w:rPr>
          <w:rFonts w:asciiTheme="minorEastAsia" w:hAnsiTheme="minorEastAsia" w:eastAsiaTheme="minorEastAsia"/>
          <w:szCs w:val="21"/>
        </w:rPr>
      </w:pPr>
    </w:p>
    <w:p>
      <w:pPr>
        <w:adjustRightInd w:val="0"/>
        <w:snapToGrid w:val="0"/>
        <w:spacing w:line="360" w:lineRule="auto"/>
        <w:rPr>
          <w:rFonts w:asciiTheme="minorEastAsia" w:hAnsiTheme="minorEastAsia" w:eastAsiaTheme="minorEastAsia"/>
        </w:rPr>
      </w:pPr>
      <w:r>
        <w:rPr>
          <w:rFonts w:hint="eastAsia" w:asciiTheme="minorEastAsia" w:hAnsiTheme="minorEastAsia" w:eastAsiaTheme="minorEastAsia"/>
          <w:szCs w:val="21"/>
        </w:rPr>
        <w:t>备注：提供第五章规定的证明材料复印件。</w:t>
      </w:r>
    </w:p>
    <w:p>
      <w:pPr>
        <w:widowControl/>
        <w:jc w:val="left"/>
        <w:rPr>
          <w:rFonts w:ascii="黑体" w:eastAsia="黑体"/>
          <w:sz w:val="28"/>
          <w:szCs w:val="28"/>
        </w:rPr>
      </w:pPr>
      <w:r>
        <w:rPr>
          <w:rFonts w:ascii="黑体" w:eastAsia="黑体"/>
          <w:b/>
          <w:bCs/>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41" w:name="_Toc20651272"/>
      <w:r>
        <w:rPr>
          <w:rFonts w:hint="eastAsia" w:ascii="黑体" w:hAnsi="宋体" w:eastAsia="黑体"/>
          <w:sz w:val="28"/>
          <w:szCs w:val="28"/>
        </w:rPr>
        <w:t>十二、投标人认为需提供的其他资料</w:t>
      </w:r>
      <w:bookmarkEnd w:id="141"/>
    </w:p>
    <w:p>
      <w:pPr>
        <w:adjustRightInd w:val="0"/>
        <w:snapToGrid w:val="0"/>
        <w:spacing w:before="156" w:beforeLines="50" w:line="360" w:lineRule="auto"/>
        <w:rPr>
          <w:rFonts w:asciiTheme="minorEastAsia" w:hAnsiTheme="minorEastAsia" w:eastAsiaTheme="minorEastAsia"/>
        </w:rPr>
      </w:pPr>
    </w:p>
    <w:p>
      <w:pPr>
        <w:adjustRightInd w:val="0"/>
        <w:snapToGrid w:val="0"/>
        <w:spacing w:before="156" w:beforeLines="50" w:line="360" w:lineRule="auto"/>
        <w:rPr>
          <w:rFonts w:asciiTheme="minorEastAsia" w:hAnsiTheme="minorEastAsia" w:eastAsiaTheme="minorEastAsia"/>
        </w:rPr>
      </w:pPr>
      <w:r>
        <w:rPr>
          <w:rFonts w:hint="eastAsia" w:asciiTheme="minorEastAsia" w:hAnsiTheme="minorEastAsia" w:eastAsiaTheme="minorEastAsia"/>
        </w:rPr>
        <w:t>备注：投标人认为需提供的其他资料包括：</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（1）招标文件第五章采购需求要求的其他资料；</w:t>
      </w:r>
    </w:p>
    <w:p>
      <w:pPr>
        <w:adjustRightInd w:val="0"/>
        <w:snapToGrid w:val="0"/>
        <w:spacing w:before="156"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（2）招标文件第四章评标方法及标准要求的其他相关资料。</w:t>
      </w:r>
    </w:p>
    <w:p>
      <w:pPr>
        <w:adjustRightInd w:val="0"/>
        <w:snapToGrid w:val="0"/>
        <w:spacing w:before="156" w:beforeLines="50" w:line="360" w:lineRule="auto"/>
        <w:rPr>
          <w:rFonts w:asciiTheme="minorEastAsia" w:hAnsiTheme="minorEastAsia" w:eastAsiaTheme="minorEastAsia"/>
        </w:rPr>
      </w:pPr>
    </w:p>
    <w:p/>
    <w:p>
      <w:pPr>
        <w:widowControl/>
        <w:jc w:val="left"/>
        <w:rPr>
          <w:rFonts w:ascii="黑体" w:hAnsi="宋体" w:eastAsia="黑体"/>
          <w:b/>
          <w:bCs/>
          <w:sz w:val="28"/>
          <w:szCs w:val="28"/>
        </w:rPr>
      </w:pPr>
      <w:r>
        <w:rPr>
          <w:rFonts w:ascii="黑体" w:hAnsi="宋体" w:eastAsia="黑体"/>
          <w:sz w:val="28"/>
          <w:szCs w:val="28"/>
        </w:rPr>
        <w:br w:type="page"/>
      </w:r>
    </w:p>
    <w:p>
      <w:pPr>
        <w:pStyle w:val="5"/>
        <w:adjustRightInd w:val="0"/>
        <w:snapToGrid w:val="0"/>
        <w:spacing w:before="0" w:after="0" w:line="360" w:lineRule="auto"/>
        <w:jc w:val="center"/>
        <w:rPr>
          <w:rFonts w:ascii="黑体" w:hAnsi="宋体" w:eastAsia="黑体"/>
          <w:sz w:val="28"/>
          <w:szCs w:val="28"/>
        </w:rPr>
      </w:pPr>
      <w:bookmarkStart w:id="142" w:name="_Toc20651273"/>
      <w:r>
        <w:rPr>
          <w:rFonts w:hint="eastAsia" w:ascii="黑体" w:hAnsi="宋体" w:eastAsia="黑体"/>
          <w:sz w:val="28"/>
          <w:szCs w:val="28"/>
        </w:rPr>
        <w:t>十三、中标服务费承诺书</w:t>
      </w:r>
      <w:bookmarkEnd w:id="142"/>
    </w:p>
    <w:p>
      <w:pPr>
        <w:adjustRightInd w:val="0"/>
        <w:snapToGrid w:val="0"/>
        <w:spacing w:line="360" w:lineRule="auto"/>
        <w:rPr>
          <w:rFonts w:ascii="宋体" w:hAnsi="宋体" w:cs="仿宋_GB2312"/>
          <w:szCs w:val="21"/>
        </w:rPr>
      </w:pPr>
    </w:p>
    <w:p>
      <w:pPr>
        <w:adjustRightInd w:val="0"/>
        <w:snapToGrid w:val="0"/>
        <w:spacing w:line="360" w:lineRule="auto"/>
        <w:rPr>
          <w:rFonts w:ascii="宋体" w:hAnsi="宋体"/>
          <w:szCs w:val="21"/>
          <w:u w:val="single"/>
        </w:rPr>
      </w:pPr>
      <w:r>
        <w:rPr>
          <w:rFonts w:hint="eastAsia" w:ascii="宋体" w:hAnsi="宋体" w:cs="仿宋_GB2312"/>
          <w:szCs w:val="21"/>
        </w:rPr>
        <w:t>致（采购代理机构）</w:t>
      </w:r>
      <w:r>
        <w:rPr>
          <w:rFonts w:hint="eastAsia" w:ascii="宋体" w:hAnsi="宋体" w:cs="仿宋_GB2312"/>
          <w:szCs w:val="21"/>
          <w:u w:val="single"/>
        </w:rPr>
        <w:t xml:space="preserve">                 </w:t>
      </w:r>
      <w:r>
        <w:rPr>
          <w:rFonts w:hint="eastAsia" w:ascii="宋体" w:hAnsi="宋体" w:cs="仿宋_GB2312"/>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cs="仿宋_GB2312"/>
          <w:szCs w:val="21"/>
        </w:rPr>
        <w:t>我们在贵公司组织的</w:t>
      </w: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 xml:space="preserve"> ，</w:t>
      </w:r>
      <w:r>
        <w:rPr>
          <w:rFonts w:hint="eastAsia" w:ascii="宋体" w:hAnsi="宋体" w:cs="仿宋_GB2312"/>
          <w:szCs w:val="21"/>
        </w:rPr>
        <w:t>采购代理编号：</w:t>
      </w:r>
      <w:r>
        <w:rPr>
          <w:rFonts w:hint="eastAsia" w:ascii="宋体" w:hAnsi="宋体"/>
          <w:szCs w:val="21"/>
          <w:u w:val="single"/>
        </w:rPr>
        <w:t xml:space="preserve">         </w:t>
      </w:r>
      <w:r>
        <w:rPr>
          <w:rFonts w:hint="eastAsia" w:ascii="宋体" w:hAnsi="宋体"/>
          <w:szCs w:val="21"/>
        </w:rPr>
        <w:t>）</w:t>
      </w:r>
      <w:r>
        <w:rPr>
          <w:rFonts w:hint="eastAsia" w:ascii="宋体" w:hAnsi="宋体" w:cs="仿宋_GB2312"/>
          <w:szCs w:val="21"/>
        </w:rPr>
        <w:t>招标中若获中标，我们保证在收到中标通知书后5 个工作日内，按招标文件的规定，以支票、汇票或现金，向贵公司一次性支付中标服务费用。否则，</w:t>
      </w:r>
      <w:r>
        <w:rPr>
          <w:rFonts w:hint="eastAsia" w:ascii="宋体" w:hAnsi="宋体"/>
          <w:szCs w:val="21"/>
        </w:rPr>
        <w:t>由此产生的一切法律后果和责任由我公司承担。我公司声明放弃对此提出任何异议和追索的权利。</w:t>
      </w:r>
    </w:p>
    <w:p>
      <w:pPr>
        <w:adjustRightInd w:val="0"/>
        <w:snapToGrid w:val="0"/>
        <w:spacing w:line="360" w:lineRule="auto"/>
        <w:ind w:firstLine="420" w:firstLineChars="200"/>
        <w:rPr>
          <w:rFonts w:ascii="宋体" w:hAnsi="宋体"/>
          <w:szCs w:val="21"/>
        </w:rPr>
      </w:pPr>
      <w:r>
        <w:rPr>
          <w:rFonts w:hint="eastAsia" w:ascii="宋体" w:hAnsi="宋体"/>
          <w:szCs w:val="21"/>
        </w:rPr>
        <w:t>特此承诺。</w:t>
      </w:r>
    </w:p>
    <w:p>
      <w:pPr>
        <w:adjustRightInd w:val="0"/>
        <w:snapToGrid w:val="0"/>
        <w:spacing w:line="360" w:lineRule="auto"/>
        <w:rPr>
          <w:rFonts w:asciiTheme="minorEastAsia" w:hAnsiTheme="minorEastAsia" w:eastAsiaTheme="minorEastAsia"/>
          <w:color w:val="000000"/>
          <w:szCs w:val="21"/>
        </w:rPr>
      </w:pP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tcPr>
          <w:p>
            <w:pPr>
              <w:adjustRightInd w:val="0"/>
              <w:snapToGrid w:val="0"/>
              <w:spacing w:line="360" w:lineRule="auto"/>
              <w:jc w:val="center"/>
              <w:rPr>
                <w:rFonts w:ascii="黑体" w:hAnsi="黑体" w:eastAsia="黑体"/>
                <w:color w:val="000000"/>
                <w:kern w:val="0"/>
                <w:sz w:val="28"/>
                <w:szCs w:val="28"/>
                <w:u w:val="single"/>
              </w:rPr>
            </w:pPr>
            <w:r>
              <w:rPr>
                <w:rFonts w:ascii="黑体" w:hAnsi="黑体" w:eastAsia="黑体"/>
                <w:color w:val="000000"/>
                <w:kern w:val="0"/>
                <w:sz w:val="28"/>
                <w:szCs w:val="28"/>
                <w:u w:val="single"/>
              </w:rPr>
              <w:t>开具</w:t>
            </w:r>
            <w:r>
              <w:rPr>
                <w:rFonts w:hint="eastAsia" w:ascii="黑体" w:hAnsi="黑体" w:eastAsia="黑体"/>
                <w:color w:val="000000"/>
                <w:kern w:val="0"/>
                <w:sz w:val="28"/>
                <w:szCs w:val="28"/>
                <w:u w:val="single"/>
              </w:rPr>
              <w:t>发票信息</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w:t>
            </w:r>
            <w:r>
              <w:rPr>
                <w:rFonts w:hint="eastAsia" w:asciiTheme="minorEastAsia" w:hAnsiTheme="minorEastAsia" w:eastAsiaTheme="minorEastAsia"/>
                <w:color w:val="000000"/>
                <w:kern w:val="0"/>
                <w:szCs w:val="21"/>
              </w:rPr>
              <w:t xml:space="preserve"> </w:t>
            </w:r>
            <w:r>
              <w:rPr>
                <w:rFonts w:asciiTheme="minorEastAsia" w:hAnsiTheme="minorEastAsia" w:eastAsiaTheme="minorEastAsia"/>
                <w:color w:val="000000"/>
                <w:kern w:val="0"/>
                <w:szCs w:val="21"/>
              </w:rPr>
              <w:t>增值税普通发票</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w:t>
            </w:r>
            <w:r>
              <w:rPr>
                <w:rFonts w:hint="eastAsia" w:asciiTheme="minorEastAsia" w:hAnsiTheme="minorEastAsia" w:eastAsiaTheme="minorEastAsia"/>
                <w:color w:val="000000"/>
                <w:kern w:val="0"/>
                <w:szCs w:val="21"/>
              </w:rPr>
              <w:t xml:space="preserve"> </w:t>
            </w:r>
            <w:r>
              <w:rPr>
                <w:rFonts w:asciiTheme="minorEastAsia" w:hAnsiTheme="minorEastAsia" w:eastAsiaTheme="minorEastAsia"/>
                <w:color w:val="000000"/>
                <w:kern w:val="0"/>
                <w:szCs w:val="21"/>
              </w:rPr>
              <w:t>或按照以下信息开具增值税专用发票：</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单位名称：</w:t>
            </w:r>
            <w:r>
              <w:rPr>
                <w:rFonts w:hint="eastAsia" w:ascii="宋体" w:hAnsi="宋体"/>
                <w:kern w:val="0"/>
                <w:sz w:val="20"/>
                <w:szCs w:val="21"/>
                <w:u w:val="single"/>
              </w:rPr>
              <w:t xml:space="preserve">                   </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纳税人识别号：</w:t>
            </w:r>
            <w:r>
              <w:rPr>
                <w:rFonts w:hint="eastAsia" w:ascii="宋体" w:hAnsi="宋体"/>
                <w:kern w:val="0"/>
                <w:sz w:val="20"/>
                <w:szCs w:val="21"/>
                <w:u w:val="single"/>
              </w:rPr>
              <w:t xml:space="preserve">                   </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地址：</w:t>
            </w:r>
            <w:r>
              <w:rPr>
                <w:rFonts w:hint="eastAsia" w:ascii="宋体" w:hAnsi="宋体"/>
                <w:kern w:val="0"/>
                <w:sz w:val="20"/>
                <w:szCs w:val="21"/>
                <w:u w:val="single"/>
              </w:rPr>
              <w:t xml:space="preserve">                   </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电话：</w:t>
            </w:r>
            <w:r>
              <w:rPr>
                <w:rFonts w:hint="eastAsia" w:ascii="宋体" w:hAnsi="宋体"/>
                <w:kern w:val="0"/>
                <w:sz w:val="20"/>
                <w:szCs w:val="21"/>
                <w:u w:val="single"/>
              </w:rPr>
              <w:t xml:space="preserve">                   </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开户行：</w:t>
            </w:r>
            <w:r>
              <w:rPr>
                <w:rFonts w:hint="eastAsia" w:ascii="宋体" w:hAnsi="宋体"/>
                <w:kern w:val="0"/>
                <w:sz w:val="20"/>
                <w:szCs w:val="21"/>
                <w:u w:val="single"/>
              </w:rPr>
              <w:t xml:space="preserve">                   </w:t>
            </w:r>
          </w:p>
          <w:p>
            <w:pPr>
              <w:adjustRightInd w:val="0"/>
              <w:snapToGrid w:val="0"/>
              <w:spacing w:line="360" w:lineRule="auto"/>
              <w:ind w:firstLine="420" w:firstLineChars="200"/>
              <w:rPr>
                <w:rFonts w:asciiTheme="minorEastAsia" w:hAnsiTheme="minorEastAsia" w:eastAsiaTheme="minorEastAsia"/>
                <w:color w:val="000000"/>
                <w:kern w:val="0"/>
                <w:sz w:val="20"/>
                <w:szCs w:val="21"/>
              </w:rPr>
            </w:pPr>
            <w:r>
              <w:rPr>
                <w:rFonts w:asciiTheme="minorEastAsia" w:hAnsiTheme="minorEastAsia" w:eastAsiaTheme="minorEastAsia"/>
                <w:color w:val="000000"/>
                <w:kern w:val="0"/>
                <w:szCs w:val="21"/>
              </w:rPr>
              <w:t>账号：</w:t>
            </w:r>
            <w:r>
              <w:rPr>
                <w:rFonts w:hint="eastAsia" w:ascii="宋体" w:hAnsi="宋体"/>
                <w:kern w:val="0"/>
                <w:sz w:val="20"/>
                <w:szCs w:val="21"/>
                <w:u w:val="single"/>
              </w:rPr>
              <w:t xml:space="preserve">                   </w:t>
            </w:r>
          </w:p>
        </w:tc>
      </w:tr>
    </w:tbl>
    <w:p>
      <w:pPr>
        <w:adjustRightInd w:val="0"/>
        <w:snapToGrid w:val="0"/>
        <w:spacing w:line="360" w:lineRule="auto"/>
        <w:ind w:firstLine="420" w:firstLineChars="200"/>
        <w:rPr>
          <w:rFonts w:asciiTheme="minorEastAsia" w:hAnsiTheme="minorEastAsia" w:eastAsiaTheme="minorEastAsia"/>
          <w:szCs w:val="21"/>
        </w:rPr>
      </w:pPr>
    </w:p>
    <w:p>
      <w:pPr>
        <w:adjustRightInd w:val="0"/>
        <w:snapToGrid w:val="0"/>
        <w:spacing w:line="360" w:lineRule="auto"/>
        <w:rPr>
          <w:rFonts w:ascii="宋体" w:hAnsi="宋体" w:cs="仿宋_GB2312"/>
          <w:szCs w:val="21"/>
        </w:rPr>
      </w:pPr>
      <w:r>
        <w:rPr>
          <w:rFonts w:ascii="宋体" w:hAnsi="宋体" w:cs="仿宋_GB2312"/>
          <w:szCs w:val="21"/>
        </w:rPr>
        <w:t xml:space="preserve">           </w:t>
      </w:r>
    </w:p>
    <w:p>
      <w:pPr>
        <w:adjustRightInd w:val="0"/>
        <w:snapToGrid w:val="0"/>
        <w:spacing w:line="360" w:lineRule="auto"/>
        <w:rPr>
          <w:rFonts w:ascii="宋体" w:hAnsi="宋体"/>
          <w:szCs w:val="21"/>
        </w:rPr>
      </w:pPr>
      <w:r>
        <w:rPr>
          <w:rFonts w:hint="eastAsia" w:ascii="宋体" w:hAnsi="宋体"/>
          <w:szCs w:val="21"/>
        </w:rPr>
        <w:t>投标人名称（盖单位章）：</w:t>
      </w:r>
    </w:p>
    <w:p>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center" w:pos="4365"/>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300" w:right="359" w:rightChars="171" w:hanging="180" w:hangingChars="100"/>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6"/>
      </w:rPr>
    </w:pPr>
    <w:r>
      <w:fldChar w:fldCharType="begin"/>
    </w:r>
    <w:r>
      <w:rPr>
        <w:rStyle w:val="46"/>
      </w:rPr>
      <w:instrText xml:space="preserve">PAGE  </w:instrText>
    </w:r>
    <w:r>
      <w:fldChar w:fldCharType="end"/>
    </w:r>
  </w:p>
  <w:p>
    <w:pPr>
      <w:pStyle w:val="2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6"/>
      </w:rPr>
    </w:pPr>
    <w:r>
      <w:fldChar w:fldCharType="begin"/>
    </w:r>
    <w:r>
      <w:rPr>
        <w:rStyle w:val="46"/>
      </w:rPr>
      <w:instrText xml:space="preserve">PAGE  </w:instrText>
    </w:r>
    <w:r>
      <w:fldChar w:fldCharType="end"/>
    </w:r>
  </w:p>
  <w:p>
    <w:pPr>
      <w:pStyle w:val="2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300" w:right="359" w:rightChars="171" w:hanging="180" w:hangingChars="100"/>
      <w:rPr>
        <w:rFonts w:eastAsia="楷体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F6578"/>
    <w:multiLevelType w:val="singleLevel"/>
    <w:tmpl w:val="EFFF6578"/>
    <w:lvl w:ilvl="0" w:tentative="0">
      <w:start w:val="2"/>
      <w:numFmt w:val="decimal"/>
      <w:suff w:val="nothing"/>
      <w:lvlText w:val="（%1）"/>
      <w:lvlJc w:val="left"/>
    </w:lvl>
  </w:abstractNum>
  <w:abstractNum w:abstractNumId="1">
    <w:nsid w:val="F0887936"/>
    <w:multiLevelType w:val="singleLevel"/>
    <w:tmpl w:val="F0887936"/>
    <w:lvl w:ilvl="0" w:tentative="0">
      <w:start w:val="1"/>
      <w:numFmt w:val="decimal"/>
      <w:suff w:val="nothing"/>
      <w:lvlText w:val="%1、"/>
      <w:lvlJc w:val="left"/>
    </w:lvl>
  </w:abstractNum>
  <w:abstractNum w:abstractNumId="2">
    <w:nsid w:val="4EB39257"/>
    <w:multiLevelType w:val="singleLevel"/>
    <w:tmpl w:val="4EB39257"/>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4E4C"/>
    <w:rsid w:val="001C5444"/>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2D24"/>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7F22"/>
    <w:rsid w:val="009D09B9"/>
    <w:rsid w:val="009D7095"/>
    <w:rsid w:val="009E04AF"/>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3B6F"/>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3650096"/>
    <w:rsid w:val="07674CED"/>
    <w:rsid w:val="085E5421"/>
    <w:rsid w:val="08F07563"/>
    <w:rsid w:val="09EB14A5"/>
    <w:rsid w:val="0A1E2C68"/>
    <w:rsid w:val="0A552FD1"/>
    <w:rsid w:val="0BAB4DBC"/>
    <w:rsid w:val="0CB60A60"/>
    <w:rsid w:val="0CE95041"/>
    <w:rsid w:val="11563B20"/>
    <w:rsid w:val="16710EA3"/>
    <w:rsid w:val="1A905BCF"/>
    <w:rsid w:val="1DD3548B"/>
    <w:rsid w:val="1DED21D8"/>
    <w:rsid w:val="1F0E3DA5"/>
    <w:rsid w:val="1F8424E0"/>
    <w:rsid w:val="20CE49AC"/>
    <w:rsid w:val="22D30C47"/>
    <w:rsid w:val="22F75C0D"/>
    <w:rsid w:val="231A52FE"/>
    <w:rsid w:val="250D0FC6"/>
    <w:rsid w:val="25114177"/>
    <w:rsid w:val="25A04783"/>
    <w:rsid w:val="25AB5C1E"/>
    <w:rsid w:val="290F7096"/>
    <w:rsid w:val="2B747E5C"/>
    <w:rsid w:val="31CF3F14"/>
    <w:rsid w:val="34DD5737"/>
    <w:rsid w:val="35AC3B37"/>
    <w:rsid w:val="35C91DF7"/>
    <w:rsid w:val="38C26B8B"/>
    <w:rsid w:val="39577A33"/>
    <w:rsid w:val="3DB03FCF"/>
    <w:rsid w:val="40DF76FA"/>
    <w:rsid w:val="4CD52518"/>
    <w:rsid w:val="510619ED"/>
    <w:rsid w:val="518A6447"/>
    <w:rsid w:val="526F45B8"/>
    <w:rsid w:val="55120D38"/>
    <w:rsid w:val="56ED08A6"/>
    <w:rsid w:val="591477CD"/>
    <w:rsid w:val="5E9B5CF6"/>
    <w:rsid w:val="5ED209B4"/>
    <w:rsid w:val="5F10409F"/>
    <w:rsid w:val="61970898"/>
    <w:rsid w:val="61FE42C3"/>
    <w:rsid w:val="6235591B"/>
    <w:rsid w:val="62C2002D"/>
    <w:rsid w:val="6562503C"/>
    <w:rsid w:val="66797174"/>
    <w:rsid w:val="69FA0715"/>
    <w:rsid w:val="6A5061E6"/>
    <w:rsid w:val="6C040369"/>
    <w:rsid w:val="72C55CCC"/>
    <w:rsid w:val="73366902"/>
    <w:rsid w:val="73CD2E42"/>
    <w:rsid w:val="7591464C"/>
    <w:rsid w:val="786F4F8D"/>
    <w:rsid w:val="7BA0701F"/>
    <w:rsid w:val="7C5424EB"/>
    <w:rsid w:val="7D6C3C01"/>
    <w:rsid w:val="7E3D5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0"/>
    <w:qFormat/>
    <w:uiPriority w:val="0"/>
    <w:pPr>
      <w:keepNext/>
      <w:jc w:val="center"/>
      <w:outlineLvl w:val="0"/>
    </w:pPr>
    <w:rPr>
      <w:b/>
      <w:bCs/>
      <w:sz w:val="24"/>
      <w:szCs w:val="20"/>
    </w:rPr>
  </w:style>
  <w:style w:type="paragraph" w:styleId="4">
    <w:name w:val="heading 2"/>
    <w:basedOn w:val="1"/>
    <w:next w:val="1"/>
    <w:link w:val="51"/>
    <w:qFormat/>
    <w:uiPriority w:val="0"/>
    <w:pPr>
      <w:keepNext/>
      <w:keepLines/>
      <w:spacing w:line="360" w:lineRule="auto"/>
      <w:outlineLvl w:val="1"/>
    </w:pPr>
    <w:rPr>
      <w:rFonts w:ascii="Arial" w:hAnsi="Arial"/>
      <w:b/>
      <w:bCs/>
      <w:sz w:val="24"/>
      <w:szCs w:val="32"/>
    </w:rPr>
  </w:style>
  <w:style w:type="paragraph" w:styleId="5">
    <w:name w:val="heading 3"/>
    <w:basedOn w:val="1"/>
    <w:next w:val="1"/>
    <w:link w:val="52"/>
    <w:qFormat/>
    <w:uiPriority w:val="0"/>
    <w:pPr>
      <w:keepNext/>
      <w:keepLines/>
      <w:spacing w:before="260" w:after="260" w:line="416" w:lineRule="auto"/>
      <w:outlineLvl w:val="2"/>
    </w:pPr>
    <w:rPr>
      <w:b/>
      <w:bCs/>
      <w:sz w:val="32"/>
      <w:szCs w:val="32"/>
    </w:rPr>
  </w:style>
  <w:style w:type="paragraph" w:styleId="6">
    <w:name w:val="heading 4"/>
    <w:basedOn w:val="1"/>
    <w:next w:val="1"/>
    <w:link w:val="5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5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56"/>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5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5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99"/>
    <w:pPr>
      <w:widowControl w:val="0"/>
      <w:autoSpaceDE w:val="0"/>
      <w:autoSpaceDN w:val="0"/>
      <w:ind w:left="360"/>
      <w:jc w:val="both"/>
    </w:pPr>
    <w:rPr>
      <w:rFonts w:ascii="宋体" w:hAnsi="新宋体" w:eastAsia="宋体" w:cs="Times New Roman"/>
      <w:kern w:val="2"/>
      <w:sz w:val="24"/>
      <w:szCs w:val="24"/>
      <w:lang w:val="en-US" w:eastAsia="zh-CN" w:bidi="ar-SA"/>
    </w:r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82"/>
    <w:semiHidden/>
    <w:qFormat/>
    <w:uiPriority w:val="0"/>
    <w:pPr>
      <w:shd w:val="clear" w:color="auto" w:fill="000080"/>
    </w:pPr>
  </w:style>
  <w:style w:type="paragraph" w:styleId="15">
    <w:name w:val="annotation text"/>
    <w:basedOn w:val="1"/>
    <w:link w:val="66"/>
    <w:semiHidden/>
    <w:qFormat/>
    <w:uiPriority w:val="0"/>
    <w:pPr>
      <w:jc w:val="left"/>
    </w:pPr>
  </w:style>
  <w:style w:type="paragraph" w:styleId="16">
    <w:name w:val="Salutation"/>
    <w:basedOn w:val="1"/>
    <w:next w:val="1"/>
    <w:link w:val="71"/>
    <w:qFormat/>
    <w:uiPriority w:val="0"/>
    <w:rPr>
      <w:rFonts w:ascii="仿宋_GB2312" w:eastAsia="仿宋_GB2312"/>
      <w:sz w:val="24"/>
    </w:rPr>
  </w:style>
  <w:style w:type="paragraph" w:styleId="17">
    <w:name w:val="Body Text"/>
    <w:basedOn w:val="1"/>
    <w:link w:val="60"/>
    <w:qFormat/>
    <w:uiPriority w:val="0"/>
    <w:pPr>
      <w:spacing w:after="120"/>
    </w:pPr>
  </w:style>
  <w:style w:type="paragraph" w:styleId="18">
    <w:name w:val="Body Text Indent"/>
    <w:basedOn w:val="1"/>
    <w:link w:val="63"/>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65"/>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76"/>
    <w:qFormat/>
    <w:uiPriority w:val="0"/>
    <w:rPr>
      <w:sz w:val="24"/>
      <w:szCs w:val="20"/>
    </w:rPr>
  </w:style>
  <w:style w:type="paragraph" w:styleId="25">
    <w:name w:val="Body Text Indent 2"/>
    <w:basedOn w:val="1"/>
    <w:link w:val="73"/>
    <w:qFormat/>
    <w:uiPriority w:val="0"/>
    <w:pPr>
      <w:spacing w:after="120" w:line="480" w:lineRule="auto"/>
      <w:ind w:left="420" w:leftChars="200"/>
    </w:pPr>
  </w:style>
  <w:style w:type="paragraph" w:styleId="26">
    <w:name w:val="Balloon Text"/>
    <w:basedOn w:val="1"/>
    <w:link w:val="90"/>
    <w:qFormat/>
    <w:uiPriority w:val="0"/>
    <w:rPr>
      <w:sz w:val="18"/>
      <w:szCs w:val="18"/>
    </w:rPr>
  </w:style>
  <w:style w:type="paragraph" w:styleId="27">
    <w:name w:val="footer"/>
    <w:basedOn w:val="1"/>
    <w:link w:val="61"/>
    <w:qFormat/>
    <w:uiPriority w:val="99"/>
    <w:pPr>
      <w:tabs>
        <w:tab w:val="center" w:pos="4153"/>
        <w:tab w:val="right" w:pos="8306"/>
      </w:tabs>
      <w:snapToGrid w:val="0"/>
      <w:jc w:val="left"/>
    </w:pPr>
    <w:rPr>
      <w:sz w:val="18"/>
      <w:szCs w:val="18"/>
    </w:rPr>
  </w:style>
  <w:style w:type="paragraph" w:styleId="28">
    <w:name w:val="header"/>
    <w:basedOn w:val="1"/>
    <w:link w:val="62"/>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75"/>
    <w:qFormat/>
    <w:uiPriority w:val="0"/>
    <w:pPr>
      <w:spacing w:after="120"/>
      <w:ind w:left="420" w:leftChars="200"/>
    </w:pPr>
    <w:rPr>
      <w:sz w:val="16"/>
      <w:szCs w:val="16"/>
    </w:rPr>
  </w:style>
  <w:style w:type="paragraph" w:styleId="33">
    <w:name w:val="toc 2"/>
    <w:basedOn w:val="1"/>
    <w:next w:val="1"/>
    <w:unhideWhenUsed/>
    <w:qFormat/>
    <w:uiPriority w:val="39"/>
    <w:pPr>
      <w:spacing w:line="360" w:lineRule="auto"/>
      <w:ind w:left="200" w:leftChars="200"/>
    </w:pPr>
    <w:rPr>
      <w:rFonts w:eastAsiaTheme="majorEastAsia"/>
      <w:b/>
    </w:rPr>
  </w:style>
  <w:style w:type="paragraph" w:styleId="34">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5">
    <w:name w:val="Body Text 2"/>
    <w:basedOn w:val="1"/>
    <w:link w:val="72"/>
    <w:qFormat/>
    <w:uiPriority w:val="0"/>
    <w:pPr>
      <w:spacing w:after="120" w:line="480" w:lineRule="auto"/>
    </w:pPr>
  </w:style>
  <w:style w:type="paragraph" w:styleId="36">
    <w:name w:val="HTML Preformatted"/>
    <w:basedOn w:val="1"/>
    <w:link w:val="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link w:val="107"/>
    <w:qFormat/>
    <w:uiPriority w:val="0"/>
    <w:pPr>
      <w:jc w:val="center"/>
      <w:outlineLvl w:val="0"/>
    </w:pPr>
    <w:rPr>
      <w:rFonts w:asciiTheme="minorHAnsi" w:hAnsiTheme="minorHAnsi" w:eastAsiaTheme="minorEastAsia" w:cstheme="minorBidi"/>
      <w:b/>
      <w:sz w:val="32"/>
      <w:szCs w:val="22"/>
    </w:rPr>
  </w:style>
  <w:style w:type="paragraph" w:styleId="40">
    <w:name w:val="annotation subject"/>
    <w:basedOn w:val="15"/>
    <w:next w:val="15"/>
    <w:link w:val="89"/>
    <w:qFormat/>
    <w:uiPriority w:val="0"/>
    <w:rPr>
      <w:b/>
      <w:bCs/>
    </w:rPr>
  </w:style>
  <w:style w:type="paragraph" w:styleId="41">
    <w:name w:val="Body Text First Indent 2"/>
    <w:basedOn w:val="18"/>
    <w:qFormat/>
    <w:uiPriority w:val="0"/>
    <w:pPr>
      <w:ind w:firstLine="420" w:firstLineChars="200"/>
    </w:pPr>
  </w:style>
  <w:style w:type="table" w:styleId="43">
    <w:name w:val="Table Grid"/>
    <w:basedOn w:val="42"/>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99"/>
    <w:rPr>
      <w:color w:val="136EC2"/>
      <w:u w:val="single"/>
    </w:rPr>
  </w:style>
  <w:style w:type="character" w:styleId="49">
    <w:name w:val="annotation reference"/>
    <w:qFormat/>
    <w:uiPriority w:val="0"/>
    <w:rPr>
      <w:sz w:val="21"/>
      <w:szCs w:val="21"/>
    </w:rPr>
  </w:style>
  <w:style w:type="character" w:customStyle="1" w:styleId="50">
    <w:name w:val="标题 1 Char"/>
    <w:basedOn w:val="44"/>
    <w:link w:val="3"/>
    <w:qFormat/>
    <w:uiPriority w:val="0"/>
    <w:rPr>
      <w:rFonts w:ascii="Times New Roman" w:hAnsi="Times New Roman" w:eastAsia="宋体" w:cs="Times New Roman"/>
      <w:b/>
      <w:bCs/>
      <w:sz w:val="24"/>
      <w:szCs w:val="20"/>
    </w:rPr>
  </w:style>
  <w:style w:type="character" w:customStyle="1" w:styleId="51">
    <w:name w:val="标题 2 Char"/>
    <w:basedOn w:val="44"/>
    <w:link w:val="4"/>
    <w:qFormat/>
    <w:uiPriority w:val="0"/>
    <w:rPr>
      <w:rFonts w:ascii="Arial" w:hAnsi="Arial" w:eastAsia="宋体" w:cs="Times New Roman"/>
      <w:b/>
      <w:bCs/>
      <w:sz w:val="24"/>
      <w:szCs w:val="32"/>
    </w:rPr>
  </w:style>
  <w:style w:type="character" w:customStyle="1" w:styleId="52">
    <w:name w:val="标题 3 Char"/>
    <w:basedOn w:val="44"/>
    <w:link w:val="5"/>
    <w:qFormat/>
    <w:uiPriority w:val="0"/>
    <w:rPr>
      <w:rFonts w:ascii="Times New Roman" w:hAnsi="Times New Roman" w:eastAsia="宋体" w:cs="Times New Roman"/>
      <w:b/>
      <w:bCs/>
      <w:sz w:val="32"/>
      <w:szCs w:val="32"/>
    </w:rPr>
  </w:style>
  <w:style w:type="character" w:customStyle="1" w:styleId="53">
    <w:name w:val="标题 4 Char"/>
    <w:basedOn w:val="44"/>
    <w:link w:val="6"/>
    <w:qFormat/>
    <w:uiPriority w:val="0"/>
    <w:rPr>
      <w:rFonts w:ascii="Arial" w:hAnsi="Arial" w:eastAsia="黑体" w:cs="Times New Roman"/>
      <w:b/>
      <w:bCs/>
      <w:sz w:val="28"/>
      <w:szCs w:val="28"/>
    </w:rPr>
  </w:style>
  <w:style w:type="character" w:customStyle="1" w:styleId="54">
    <w:name w:val="标题 5 Char"/>
    <w:basedOn w:val="44"/>
    <w:link w:val="7"/>
    <w:qFormat/>
    <w:uiPriority w:val="0"/>
    <w:rPr>
      <w:rFonts w:ascii="Times New Roman" w:hAnsi="Times New Roman" w:eastAsia="宋体" w:cs="Times New Roman"/>
      <w:b/>
      <w:bCs/>
      <w:kern w:val="0"/>
      <w:sz w:val="28"/>
      <w:szCs w:val="28"/>
    </w:rPr>
  </w:style>
  <w:style w:type="character" w:customStyle="1" w:styleId="55">
    <w:name w:val="标题 6 Char"/>
    <w:basedOn w:val="44"/>
    <w:link w:val="8"/>
    <w:qFormat/>
    <w:uiPriority w:val="0"/>
    <w:rPr>
      <w:rFonts w:ascii="Arial" w:hAnsi="Arial" w:eastAsia="黑体" w:cs="Times New Roman"/>
      <w:b/>
      <w:bCs/>
      <w:kern w:val="0"/>
      <w:sz w:val="24"/>
      <w:szCs w:val="24"/>
    </w:rPr>
  </w:style>
  <w:style w:type="character" w:customStyle="1" w:styleId="56">
    <w:name w:val="标题 7 Char"/>
    <w:basedOn w:val="44"/>
    <w:link w:val="9"/>
    <w:qFormat/>
    <w:uiPriority w:val="0"/>
    <w:rPr>
      <w:rFonts w:ascii="Times New Roman" w:hAnsi="Times New Roman" w:eastAsia="宋体" w:cs="Times New Roman"/>
      <w:b/>
      <w:bCs/>
      <w:kern w:val="0"/>
      <w:sz w:val="24"/>
      <w:szCs w:val="24"/>
    </w:rPr>
  </w:style>
  <w:style w:type="character" w:customStyle="1" w:styleId="57">
    <w:name w:val="标题 8 Char"/>
    <w:basedOn w:val="44"/>
    <w:link w:val="10"/>
    <w:qFormat/>
    <w:uiPriority w:val="0"/>
    <w:rPr>
      <w:rFonts w:ascii="Arial" w:hAnsi="Arial" w:eastAsia="黑体" w:cs="Times New Roman"/>
      <w:kern w:val="0"/>
      <w:sz w:val="24"/>
      <w:szCs w:val="24"/>
    </w:rPr>
  </w:style>
  <w:style w:type="character" w:customStyle="1" w:styleId="58">
    <w:name w:val="标题 9 Char"/>
    <w:basedOn w:val="44"/>
    <w:link w:val="11"/>
    <w:qFormat/>
    <w:uiPriority w:val="0"/>
    <w:rPr>
      <w:rFonts w:ascii="Arial" w:hAnsi="Arial" w:eastAsia="黑体" w:cs="Times New Roman"/>
      <w:kern w:val="0"/>
      <w:szCs w:val="21"/>
    </w:rPr>
  </w:style>
  <w:style w:type="paragraph" w:customStyle="1" w:styleId="59">
    <w:name w:val="表格内容"/>
    <w:basedOn w:val="17"/>
    <w:qFormat/>
    <w:uiPriority w:val="0"/>
    <w:pPr>
      <w:suppressLineNumbers/>
      <w:suppressAutoHyphens/>
      <w:jc w:val="left"/>
    </w:pPr>
    <w:rPr>
      <w:rFonts w:cs="Tahoma"/>
      <w:kern w:val="0"/>
      <w:sz w:val="24"/>
    </w:rPr>
  </w:style>
  <w:style w:type="character" w:customStyle="1" w:styleId="60">
    <w:name w:val="正文文本 Char"/>
    <w:basedOn w:val="44"/>
    <w:link w:val="17"/>
    <w:qFormat/>
    <w:uiPriority w:val="0"/>
    <w:rPr>
      <w:rFonts w:ascii="Times New Roman" w:hAnsi="Times New Roman" w:eastAsia="宋体" w:cs="Times New Roman"/>
      <w:szCs w:val="24"/>
    </w:rPr>
  </w:style>
  <w:style w:type="character" w:customStyle="1" w:styleId="61">
    <w:name w:val="页脚 Char"/>
    <w:basedOn w:val="44"/>
    <w:link w:val="27"/>
    <w:qFormat/>
    <w:uiPriority w:val="99"/>
    <w:rPr>
      <w:rFonts w:ascii="Times New Roman" w:hAnsi="Times New Roman" w:eastAsia="宋体" w:cs="Times New Roman"/>
      <w:sz w:val="18"/>
      <w:szCs w:val="18"/>
    </w:rPr>
  </w:style>
  <w:style w:type="character" w:customStyle="1" w:styleId="62">
    <w:name w:val="页眉 Char"/>
    <w:basedOn w:val="44"/>
    <w:link w:val="28"/>
    <w:qFormat/>
    <w:uiPriority w:val="99"/>
    <w:rPr>
      <w:rFonts w:ascii="Times New Roman" w:hAnsi="Times New Roman" w:eastAsia="宋体" w:cs="Times New Roman"/>
      <w:sz w:val="18"/>
      <w:szCs w:val="18"/>
    </w:rPr>
  </w:style>
  <w:style w:type="character" w:customStyle="1" w:styleId="63">
    <w:name w:val="正文文本缩进 Char"/>
    <w:basedOn w:val="44"/>
    <w:link w:val="18"/>
    <w:qFormat/>
    <w:uiPriority w:val="0"/>
    <w:rPr>
      <w:rFonts w:ascii="Times New Roman" w:hAnsi="Times New Roman" w:eastAsia="宋体" w:cs="Times New Roman"/>
      <w:szCs w:val="24"/>
    </w:rPr>
  </w:style>
  <w:style w:type="paragraph" w:customStyle="1" w:styleId="64">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65">
    <w:name w:val="纯文本 Char"/>
    <w:basedOn w:val="44"/>
    <w:link w:val="22"/>
    <w:qFormat/>
    <w:uiPriority w:val="0"/>
    <w:rPr>
      <w:rFonts w:ascii="宋体" w:hAnsi="Courier New" w:eastAsia="宋体" w:cs="Courier New"/>
      <w:szCs w:val="21"/>
    </w:rPr>
  </w:style>
  <w:style w:type="character" w:customStyle="1" w:styleId="66">
    <w:name w:val="批注文字 Char"/>
    <w:basedOn w:val="44"/>
    <w:link w:val="15"/>
    <w:semiHidden/>
    <w:qFormat/>
    <w:uiPriority w:val="0"/>
    <w:rPr>
      <w:rFonts w:ascii="Times New Roman" w:hAnsi="Times New Roman" w:eastAsia="宋体" w:cs="Times New Roman"/>
      <w:szCs w:val="24"/>
    </w:rPr>
  </w:style>
  <w:style w:type="paragraph" w:customStyle="1" w:styleId="6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68">
    <w:name w:val="Char Char Char"/>
    <w:basedOn w:val="1"/>
    <w:qFormat/>
    <w:uiPriority w:val="0"/>
    <w:rPr>
      <w:rFonts w:ascii="宋体" w:hAnsi="宋体"/>
      <w:b/>
      <w:sz w:val="28"/>
      <w:szCs w:val="28"/>
    </w:rPr>
  </w:style>
  <w:style w:type="paragraph" w:customStyle="1" w:styleId="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0">
    <w:name w:val="HTML 预设格式 Char"/>
    <w:basedOn w:val="44"/>
    <w:link w:val="36"/>
    <w:qFormat/>
    <w:uiPriority w:val="0"/>
    <w:rPr>
      <w:rFonts w:ascii="Arial" w:hAnsi="Arial" w:eastAsia="宋体" w:cs="Arial"/>
      <w:kern w:val="0"/>
      <w:sz w:val="24"/>
      <w:szCs w:val="24"/>
    </w:rPr>
  </w:style>
  <w:style w:type="character" w:customStyle="1" w:styleId="71">
    <w:name w:val="称呼 Char"/>
    <w:basedOn w:val="44"/>
    <w:link w:val="16"/>
    <w:qFormat/>
    <w:uiPriority w:val="0"/>
    <w:rPr>
      <w:rFonts w:ascii="仿宋_GB2312" w:hAnsi="Times New Roman" w:eastAsia="仿宋_GB2312" w:cs="Times New Roman"/>
      <w:sz w:val="24"/>
      <w:szCs w:val="24"/>
    </w:rPr>
  </w:style>
  <w:style w:type="character" w:customStyle="1" w:styleId="72">
    <w:name w:val="正文文本 2 Char"/>
    <w:basedOn w:val="44"/>
    <w:link w:val="35"/>
    <w:qFormat/>
    <w:uiPriority w:val="0"/>
    <w:rPr>
      <w:rFonts w:ascii="Times New Roman" w:hAnsi="Times New Roman" w:eastAsia="宋体" w:cs="Times New Roman"/>
      <w:szCs w:val="24"/>
    </w:rPr>
  </w:style>
  <w:style w:type="character" w:customStyle="1" w:styleId="73">
    <w:name w:val="正文文本缩进 2 Char"/>
    <w:basedOn w:val="44"/>
    <w:link w:val="25"/>
    <w:qFormat/>
    <w:uiPriority w:val="0"/>
    <w:rPr>
      <w:rFonts w:ascii="Times New Roman" w:hAnsi="Times New Roman" w:eastAsia="宋体" w:cs="Times New Roman"/>
      <w:szCs w:val="24"/>
    </w:rPr>
  </w:style>
  <w:style w:type="paragraph" w:customStyle="1" w:styleId="74">
    <w:name w:val="Char"/>
    <w:basedOn w:val="1"/>
    <w:qFormat/>
    <w:uiPriority w:val="0"/>
    <w:pPr>
      <w:tabs>
        <w:tab w:val="left" w:pos="360"/>
      </w:tabs>
      <w:ind w:left="360" w:hanging="360" w:hangingChars="200"/>
    </w:pPr>
    <w:rPr>
      <w:sz w:val="24"/>
    </w:rPr>
  </w:style>
  <w:style w:type="character" w:customStyle="1" w:styleId="75">
    <w:name w:val="正文文本缩进 3 Char"/>
    <w:basedOn w:val="44"/>
    <w:link w:val="32"/>
    <w:qFormat/>
    <w:uiPriority w:val="0"/>
    <w:rPr>
      <w:rFonts w:ascii="Times New Roman" w:hAnsi="Times New Roman" w:eastAsia="宋体" w:cs="Times New Roman"/>
      <w:sz w:val="16"/>
      <w:szCs w:val="16"/>
    </w:rPr>
  </w:style>
  <w:style w:type="character" w:customStyle="1" w:styleId="76">
    <w:name w:val="日期 Char"/>
    <w:basedOn w:val="44"/>
    <w:link w:val="24"/>
    <w:qFormat/>
    <w:uiPriority w:val="0"/>
    <w:rPr>
      <w:rFonts w:ascii="Times New Roman" w:hAnsi="Times New Roman" w:eastAsia="宋体" w:cs="Times New Roman"/>
      <w:sz w:val="24"/>
      <w:szCs w:val="20"/>
    </w:rPr>
  </w:style>
  <w:style w:type="paragraph" w:customStyle="1" w:styleId="77">
    <w:name w:val="样式1"/>
    <w:basedOn w:val="1"/>
    <w:link w:val="109"/>
    <w:qFormat/>
    <w:uiPriority w:val="0"/>
    <w:pPr>
      <w:tabs>
        <w:tab w:val="left" w:pos="360"/>
      </w:tabs>
      <w:adjustRightInd w:val="0"/>
      <w:ind w:left="360" w:hanging="360"/>
      <w:textAlignment w:val="baseline"/>
    </w:pPr>
    <w:rPr>
      <w:rFonts w:ascii="宋体" w:hAnsi="宋体"/>
      <w:kern w:val="0"/>
      <w:szCs w:val="21"/>
    </w:rPr>
  </w:style>
  <w:style w:type="character" w:customStyle="1" w:styleId="78">
    <w:name w:val="p0 Char"/>
    <w:link w:val="79"/>
    <w:qFormat/>
    <w:uiPriority w:val="0"/>
    <w:rPr>
      <w:rFonts w:eastAsia="宋体"/>
      <w:szCs w:val="21"/>
    </w:rPr>
  </w:style>
  <w:style w:type="paragraph" w:customStyle="1" w:styleId="79">
    <w:name w:val="p0"/>
    <w:basedOn w:val="1"/>
    <w:link w:val="78"/>
    <w:qFormat/>
    <w:uiPriority w:val="0"/>
    <w:pPr>
      <w:widowControl/>
    </w:pPr>
    <w:rPr>
      <w:rFonts w:asciiTheme="minorHAnsi" w:hAnsiTheme="minorHAnsi" w:cstheme="minorBidi"/>
      <w:szCs w:val="21"/>
    </w:rPr>
  </w:style>
  <w:style w:type="paragraph" w:customStyle="1" w:styleId="8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1">
    <w:name w:val="Char Char1 Char Char Char Char Char1 Char Char Char Char"/>
    <w:basedOn w:val="14"/>
    <w:qFormat/>
    <w:uiPriority w:val="0"/>
    <w:rPr>
      <w:rFonts w:ascii="Tahoma" w:hAnsi="Tahoma"/>
    </w:rPr>
  </w:style>
  <w:style w:type="character" w:customStyle="1" w:styleId="82">
    <w:name w:val="文档结构图 Char"/>
    <w:basedOn w:val="44"/>
    <w:link w:val="14"/>
    <w:semiHidden/>
    <w:qFormat/>
    <w:uiPriority w:val="0"/>
    <w:rPr>
      <w:rFonts w:ascii="Times New Roman" w:hAnsi="Times New Roman" w:eastAsia="宋体" w:cs="Times New Roman"/>
      <w:szCs w:val="24"/>
      <w:shd w:val="clear" w:color="auto" w:fill="000080"/>
    </w:rPr>
  </w:style>
  <w:style w:type="paragraph" w:customStyle="1" w:styleId="8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8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86">
    <w:name w:val="1"/>
    <w:basedOn w:val="1"/>
    <w:qFormat/>
    <w:uiPriority w:val="0"/>
    <w:pPr>
      <w:spacing w:afterLines="50" w:line="360" w:lineRule="auto"/>
    </w:pPr>
    <w:rPr>
      <w:rFonts w:ascii="宋体" w:hAnsi="宋体"/>
      <w:b/>
      <w:sz w:val="30"/>
      <w:szCs w:val="21"/>
    </w:rPr>
  </w:style>
  <w:style w:type="paragraph" w:customStyle="1" w:styleId="87">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8">
    <w:name w:val="标题 1 +"/>
    <w:basedOn w:val="3"/>
    <w:next w:val="1"/>
    <w:qFormat/>
    <w:uiPriority w:val="0"/>
    <w:pPr>
      <w:keepLines/>
      <w:spacing w:line="600" w:lineRule="auto"/>
    </w:pPr>
    <w:rPr>
      <w:rFonts w:eastAsia="黑体"/>
      <w:kern w:val="0"/>
      <w:sz w:val="32"/>
      <w:szCs w:val="32"/>
    </w:rPr>
  </w:style>
  <w:style w:type="character" w:customStyle="1" w:styleId="89">
    <w:name w:val="批注主题 Char"/>
    <w:basedOn w:val="66"/>
    <w:link w:val="40"/>
    <w:qFormat/>
    <w:uiPriority w:val="0"/>
    <w:rPr>
      <w:rFonts w:ascii="Times New Roman" w:hAnsi="Times New Roman" w:eastAsia="宋体" w:cs="Times New Roman"/>
      <w:b/>
      <w:bCs/>
      <w:szCs w:val="24"/>
    </w:rPr>
  </w:style>
  <w:style w:type="character" w:customStyle="1" w:styleId="90">
    <w:name w:val="批注框文本 Char"/>
    <w:basedOn w:val="44"/>
    <w:link w:val="26"/>
    <w:qFormat/>
    <w:uiPriority w:val="0"/>
    <w:rPr>
      <w:rFonts w:ascii="Times New Roman" w:hAnsi="Times New Roman" w:eastAsia="宋体" w:cs="Times New Roman"/>
      <w:sz w:val="18"/>
      <w:szCs w:val="18"/>
    </w:rPr>
  </w:style>
  <w:style w:type="paragraph" w:customStyle="1" w:styleId="91">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9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3">
    <w:name w:val="Char1 Char Char Char 字元 Char Char 字元 Char 字元 Char1 Char Char Char"/>
    <w:basedOn w:val="1"/>
    <w:qFormat/>
    <w:uiPriority w:val="0"/>
    <w:rPr>
      <w:szCs w:val="20"/>
    </w:rPr>
  </w:style>
  <w:style w:type="paragraph" w:customStyle="1" w:styleId="94">
    <w:name w:val="p16"/>
    <w:basedOn w:val="1"/>
    <w:qFormat/>
    <w:uiPriority w:val="0"/>
    <w:pPr>
      <w:widowControl/>
      <w:jc w:val="left"/>
    </w:pPr>
    <w:rPr>
      <w:kern w:val="0"/>
      <w:szCs w:val="21"/>
    </w:rPr>
  </w:style>
  <w:style w:type="paragraph" w:customStyle="1" w:styleId="95">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99">
    <w:name w:val="Char Char Char1 Char"/>
    <w:basedOn w:val="1"/>
    <w:qFormat/>
    <w:uiPriority w:val="0"/>
    <w:pPr>
      <w:tabs>
        <w:tab w:val="left" w:pos="360"/>
      </w:tabs>
      <w:snapToGrid w:val="0"/>
      <w:spacing w:line="360" w:lineRule="auto"/>
    </w:pPr>
    <w:rPr>
      <w:rFonts w:eastAsia="仿宋_GB2312" w:cs="宋体"/>
      <w:sz w:val="24"/>
    </w:rPr>
  </w:style>
  <w:style w:type="paragraph" w:styleId="100">
    <w:name w:val="List Paragraph"/>
    <w:basedOn w:val="1"/>
    <w:link w:val="106"/>
    <w:qFormat/>
    <w:uiPriority w:val="0"/>
    <w:pPr>
      <w:ind w:firstLine="420" w:firstLineChars="200"/>
    </w:pPr>
  </w:style>
  <w:style w:type="character" w:customStyle="1" w:styleId="101">
    <w:name w:val="fontstyle01"/>
    <w:basedOn w:val="44"/>
    <w:qFormat/>
    <w:uiPriority w:val="0"/>
    <w:rPr>
      <w:rFonts w:hint="eastAsia" w:ascii="宋体" w:hAnsi="宋体" w:eastAsia="宋体"/>
      <w:color w:val="000000"/>
      <w:sz w:val="24"/>
      <w:szCs w:val="24"/>
    </w:rPr>
  </w:style>
  <w:style w:type="character" w:customStyle="1" w:styleId="102">
    <w:name w:val="fontstyle11"/>
    <w:basedOn w:val="44"/>
    <w:qFormat/>
    <w:uiPriority w:val="0"/>
    <w:rPr>
      <w:rFonts w:hint="default" w:ascii="TimesNewRomanPSMT" w:hAnsi="TimesNewRomanPSMT"/>
      <w:color w:val="000000"/>
      <w:sz w:val="24"/>
      <w:szCs w:val="24"/>
    </w:rPr>
  </w:style>
  <w:style w:type="paragraph" w:customStyle="1" w:styleId="103">
    <w:name w:val="TOC 标题1"/>
    <w:basedOn w:val="3"/>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4">
    <w:name w:val="fontstyle21"/>
    <w:basedOn w:val="44"/>
    <w:qFormat/>
    <w:uiPriority w:val="0"/>
    <w:rPr>
      <w:rFonts w:hint="eastAsia" w:ascii="宋体" w:hAnsi="宋体" w:eastAsia="宋体"/>
      <w:color w:val="993300"/>
      <w:sz w:val="24"/>
      <w:szCs w:val="24"/>
    </w:rPr>
  </w:style>
  <w:style w:type="character" w:customStyle="1" w:styleId="105">
    <w:name w:val="fontstyle31"/>
    <w:basedOn w:val="44"/>
    <w:qFormat/>
    <w:uiPriority w:val="0"/>
    <w:rPr>
      <w:rFonts w:hint="default" w:ascii="Arial" w:hAnsi="Arial" w:cs="Arial"/>
      <w:color w:val="993300"/>
      <w:sz w:val="24"/>
      <w:szCs w:val="24"/>
    </w:rPr>
  </w:style>
  <w:style w:type="character" w:customStyle="1" w:styleId="106">
    <w:name w:val="列出段落 Char"/>
    <w:link w:val="100"/>
    <w:qFormat/>
    <w:uiPriority w:val="0"/>
    <w:rPr>
      <w:rFonts w:ascii="Times New Roman" w:hAnsi="Times New Roman" w:eastAsia="宋体" w:cs="Times New Roman"/>
      <w:szCs w:val="24"/>
    </w:rPr>
  </w:style>
  <w:style w:type="character" w:customStyle="1" w:styleId="107">
    <w:name w:val="标题 Char"/>
    <w:link w:val="39"/>
    <w:qFormat/>
    <w:uiPriority w:val="0"/>
    <w:rPr>
      <w:b/>
      <w:sz w:val="32"/>
    </w:rPr>
  </w:style>
  <w:style w:type="character" w:customStyle="1" w:styleId="108">
    <w:name w:val="标题 Char1"/>
    <w:basedOn w:val="44"/>
    <w:qFormat/>
    <w:uiPriority w:val="10"/>
    <w:rPr>
      <w:rFonts w:eastAsia="宋体" w:asciiTheme="majorHAnsi" w:hAnsiTheme="majorHAnsi" w:cstheme="majorBidi"/>
      <w:b/>
      <w:bCs/>
      <w:sz w:val="32"/>
      <w:szCs w:val="32"/>
    </w:rPr>
  </w:style>
  <w:style w:type="character" w:customStyle="1" w:styleId="109">
    <w:name w:val="样式1 Char Char"/>
    <w:link w:val="77"/>
    <w:qFormat/>
    <w:uiPriority w:val="0"/>
    <w:rPr>
      <w:rFonts w:ascii="宋体" w:hAnsi="宋体" w:eastAsia="宋体" w:cs="Times New Roman"/>
      <w:kern w:val="0"/>
      <w:szCs w:val="21"/>
    </w:rPr>
  </w:style>
  <w:style w:type="character" w:customStyle="1" w:styleId="110">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11">
    <w:name w:val="sf_logo"/>
    <w:basedOn w:val="44"/>
    <w:qFormat/>
    <w:uiPriority w:val="0"/>
  </w:style>
  <w:style w:type="character" w:customStyle="1" w:styleId="112">
    <w:name w:val="sf_font"/>
    <w:basedOn w:val="44"/>
    <w:qFormat/>
    <w:uiPriority w:val="0"/>
    <w:rPr>
      <w:rFonts w:ascii="微软雅黑" w:hAnsi="微软雅黑" w:eastAsia="微软雅黑" w:cs="微软雅黑"/>
      <w:color w:val="FFFFFF"/>
      <w:sz w:val="21"/>
      <w:szCs w:val="21"/>
    </w:rPr>
  </w:style>
  <w:style w:type="character" w:customStyle="1" w:styleId="113">
    <w:name w:val="cur"/>
    <w:basedOn w:val="44"/>
    <w:qFormat/>
    <w:uiPriority w:val="0"/>
    <w:rPr>
      <w:color w:val="EB6100"/>
    </w:rPr>
  </w:style>
  <w:style w:type="paragraph" w:customStyle="1" w:styleId="114">
    <w:name w:val="Normal_0_2"/>
    <w:qFormat/>
    <w:uiPriority w:val="0"/>
    <w:rPr>
      <w:rFonts w:ascii="Times New Roman" w:hAnsi="Times New Roman" w:eastAsia="Times New Roman" w:cs="Times New Roman"/>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eader6.xml" Type="http://schemas.openxmlformats.org/officeDocument/2006/relationships/header"/><Relationship Id="rId11" Target="header7.xml" Type="http://schemas.openxmlformats.org/officeDocument/2006/relationships/header"/><Relationship Id="rId12" Target="footer3.xml" Type="http://schemas.openxmlformats.org/officeDocument/2006/relationships/footer"/><Relationship Id="rId13" Target="footer4.xml" Type="http://schemas.openxmlformats.org/officeDocument/2006/relationships/footer"/><Relationship Id="rId14" Target="footer5.xml" Type="http://schemas.openxmlformats.org/officeDocument/2006/relationships/footer"/><Relationship Id="rId15" Target="header8.xml" Type="http://schemas.openxmlformats.org/officeDocument/2006/relationships/header"/><Relationship Id="rId16" Target="header9.xml" Type="http://schemas.openxmlformats.org/officeDocument/2006/relationships/header"/><Relationship Id="rId17" Target="header10.xml" Type="http://schemas.openxmlformats.org/officeDocument/2006/relationships/header"/><Relationship Id="rId18" Target="footer6.xml" Type="http://schemas.openxmlformats.org/officeDocument/2006/relationships/footer"/><Relationship Id="rId19" Target="footer7.xml" Type="http://schemas.openxmlformats.org/officeDocument/2006/relationships/footer"/><Relationship Id="rId2" Target="settings.xml" Type="http://schemas.openxmlformats.org/officeDocument/2006/relationships/settings"/><Relationship Id="rId20" Target="footer8.xml" Type="http://schemas.openxmlformats.org/officeDocument/2006/relationships/footer"/><Relationship Id="rId21" Target="header11.xml" Type="http://schemas.openxmlformats.org/officeDocument/2006/relationships/header"/><Relationship Id="rId22" Target="header12.xml" Type="http://schemas.openxmlformats.org/officeDocument/2006/relationships/header"/><Relationship Id="rId23" Target="header13.xml" Type="http://schemas.openxmlformats.org/officeDocument/2006/relationships/header"/><Relationship Id="rId24" Target="footer9.xml" Type="http://schemas.openxmlformats.org/officeDocument/2006/relationships/footer"/><Relationship Id="rId25" Target="theme/theme1.xml" Type="http://schemas.openxmlformats.org/officeDocument/2006/relationships/theme"/><Relationship Id="rId26" Target="embeddings/oleObject1.bin" Type="http://schemas.openxmlformats.org/officeDocument/2006/relationships/oleObject"/><Relationship Id="rId27" Target="media/image1.wmf" Type="http://schemas.openxmlformats.org/officeDocument/2006/relationships/image"/><Relationship Id="rId28" Target="../customXml/item1.xml" Type="http://schemas.openxmlformats.org/officeDocument/2006/relationships/customXml"/><Relationship Id="rId29" Target="numbering.xml" Type="http://schemas.openxmlformats.org/officeDocument/2006/relationships/numbering"/><Relationship Id="rId3" Target="header1.xml" Type="http://schemas.openxmlformats.org/officeDocument/2006/relationships/header"/><Relationship Id="rId30" Target="../customXml/item2.xml" Type="http://schemas.openxmlformats.org/officeDocument/2006/relationships/customXml"/><Relationship Id="rId31" Target="fontTable.xml" Type="http://schemas.openxmlformats.org/officeDocument/2006/relationships/fontTable"/><Relationship Id="rId4" Target="footer1.xml" Type="http://schemas.openxmlformats.org/officeDocument/2006/relationships/footer"/><Relationship Id="rId5" Target="header2.xml" Type="http://schemas.openxmlformats.org/officeDocument/2006/relationships/header"/><Relationship Id="rId6" Target="header3.xml" Type="http://schemas.openxmlformats.org/officeDocument/2006/relationships/header"/><Relationship Id="rId7" Target="header4.xml" Type="http://schemas.openxmlformats.org/officeDocument/2006/relationships/header"/><Relationship Id="rId8" Target="footer2.xml" Type="http://schemas.openxmlformats.org/officeDocument/2006/relationships/footer"/><Relationship Id="rId9" Target="header5.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3F8F83-8875-49AF-9601-5CE65DFDCAE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7278</Words>
  <Characters>41489</Characters>
  <Lines>345</Lines>
  <Paragraphs>97</Paragraphs>
  <TotalTime>17</TotalTime>
  <ScaleCrop>false</ScaleCrop>
  <LinksUpToDate>false</LinksUpToDate>
  <CharactersWithSpaces>48670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2019-09-26T01:54:00Z</dcterms:created>
  <dc:creator>admin</dc:creator>
  <cp:lastModifiedBy>Administrator</cp:lastModifiedBy>
  <cp:lastPrinted>2022-01-08T09:22:00Z</cp:lastPrinted>
  <dcterms:modified xsi:type="dcterms:W3CDTF">2022-01-13T08:35:56Z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D5306EFB7E9249A4BF2E1A456C22C144</vt:lpwstr>
  </property>
</Properties>
</file>