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hint="eastAsia" w:ascii="仿宋" w:hAnsi="仿宋" w:eastAsia="仿宋" w:cs="Times New Roman"/>
          <w:b/>
          <w:bCs/>
          <w:color w:val="000000"/>
          <w:sz w:val="30"/>
          <w:szCs w:val="30"/>
        </w:rPr>
      </w:pPr>
      <w:r>
        <w:rPr>
          <w:rFonts w:hint="eastAsia" w:ascii="仿宋" w:hAnsi="仿宋" w:eastAsia="仿宋" w:cs="Times New Roman"/>
          <w:b/>
          <w:bCs/>
          <w:color w:val="000000"/>
          <w:sz w:val="30"/>
          <w:szCs w:val="30"/>
        </w:rPr>
        <w:t>采购项目：湖南科技学院</w:t>
      </w:r>
      <w:r>
        <w:rPr>
          <w:rFonts w:hint="eastAsia" w:ascii="仿宋" w:hAnsi="仿宋" w:eastAsia="仿宋" w:cs="Times New Roman"/>
          <w:b/>
          <w:bCs/>
          <w:color w:val="000000"/>
          <w:sz w:val="30"/>
          <w:szCs w:val="30"/>
          <w:lang w:eastAsia="zh-CN"/>
        </w:rPr>
        <w:t>实训大楼监控建设项目</w:t>
      </w:r>
      <w:r>
        <w:rPr>
          <w:rFonts w:hint="eastAsia" w:ascii="仿宋" w:hAnsi="仿宋" w:eastAsia="仿宋" w:cs="Times New Roman"/>
          <w:b/>
          <w:bCs/>
          <w:color w:val="000000"/>
          <w:sz w:val="30"/>
          <w:szCs w:val="30"/>
        </w:rPr>
        <w:t xml:space="preserve">         </w:t>
      </w:r>
    </w:p>
    <w:p>
      <w:pPr>
        <w:ind w:firstLine="1205" w:firstLineChars="400"/>
        <w:rPr>
          <w:rFonts w:hint="default" w:ascii="仿宋" w:hAnsi="仿宋" w:eastAsia="仿宋"/>
          <w:color w:val="000000"/>
          <w:spacing w:val="10"/>
          <w:sz w:val="19"/>
          <w:szCs w:val="19"/>
          <w:shd w:val="clear" w:color="auto" w:fill="FFFFFF"/>
          <w:lang w:val="en-US" w:eastAsia="zh-CN"/>
        </w:rPr>
      </w:pPr>
      <w:r>
        <w:rPr>
          <w:rFonts w:hint="eastAsia" w:ascii="仿宋" w:hAnsi="仿宋" w:eastAsia="仿宋" w:cs="Times New Roman"/>
          <w:b/>
          <w:bCs/>
          <w:color w:val="000000"/>
          <w:sz w:val="30"/>
          <w:szCs w:val="30"/>
        </w:rPr>
        <w:t>项目编号: XKY-CG2022</w:t>
      </w:r>
      <w:r>
        <w:rPr>
          <w:rFonts w:hint="eastAsia" w:ascii="仿宋" w:hAnsi="仿宋" w:eastAsia="仿宋" w:cs="Times New Roman"/>
          <w:b/>
          <w:bCs/>
          <w:color w:val="000000"/>
          <w:sz w:val="30"/>
          <w:szCs w:val="30"/>
          <w:lang w:val="en-US" w:eastAsia="zh-CN"/>
        </w:rPr>
        <w:t>017</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p>
    <w:p>
      <w:pPr>
        <w:ind w:firstLine="2715" w:firstLineChars="845"/>
        <w:rPr>
          <w:rFonts w:hint="eastAsia" w:ascii="仿宋" w:hAnsi="仿宋"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第一章 招标公告</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受湖南科技学院的委托，湖南科技学院采购中心组织对湖南科技学院</w:t>
      </w:r>
      <w:r>
        <w:rPr>
          <w:rFonts w:hint="eastAsia" w:ascii="仿宋" w:hAnsi="仿宋" w:eastAsia="仿宋" w:cs="仿宋"/>
          <w:color w:val="000000"/>
          <w:kern w:val="0"/>
          <w:sz w:val="24"/>
          <w:szCs w:val="24"/>
          <w:shd w:val="clear" w:color="auto" w:fill="auto"/>
          <w:lang w:eastAsia="zh-CN"/>
        </w:rPr>
        <w:t>实训大楼监控建设</w:t>
      </w:r>
      <w:r>
        <w:rPr>
          <w:rFonts w:hint="eastAsia" w:ascii="仿宋" w:hAnsi="仿宋" w:eastAsia="仿宋" w:cs="仿宋"/>
          <w:color w:val="000000"/>
          <w:kern w:val="0"/>
          <w:sz w:val="24"/>
          <w:szCs w:val="24"/>
          <w:shd w:val="clear" w:color="auto" w:fill="auto"/>
        </w:rPr>
        <w:t>项目进行采购，现将采购事项公告如下：</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1.采购名称：湖南科技学院</w:t>
      </w:r>
      <w:r>
        <w:rPr>
          <w:rFonts w:hint="eastAsia" w:ascii="仿宋" w:hAnsi="仿宋" w:eastAsia="仿宋" w:cs="仿宋"/>
          <w:color w:val="000000"/>
          <w:kern w:val="0"/>
          <w:sz w:val="24"/>
          <w:szCs w:val="24"/>
          <w:shd w:val="clear" w:color="auto" w:fill="auto"/>
          <w:lang w:eastAsia="zh-CN"/>
        </w:rPr>
        <w:t>实训大楼监控建设项目</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default" w:ascii="仿宋" w:hAnsi="仿宋" w:eastAsia="仿宋" w:cs="仿宋"/>
          <w:color w:val="000000"/>
          <w:kern w:val="0"/>
          <w:sz w:val="24"/>
          <w:szCs w:val="24"/>
          <w:shd w:val="clear" w:color="auto" w:fill="auto"/>
          <w:lang w:val="en-US" w:eastAsia="zh-CN"/>
        </w:rPr>
      </w:pPr>
      <w:r>
        <w:rPr>
          <w:rFonts w:hint="eastAsia" w:ascii="仿宋" w:hAnsi="仿宋" w:eastAsia="仿宋" w:cs="仿宋"/>
          <w:color w:val="000000"/>
          <w:kern w:val="0"/>
          <w:sz w:val="24"/>
          <w:szCs w:val="24"/>
          <w:shd w:val="clear" w:color="auto" w:fill="auto"/>
        </w:rPr>
        <w:t>2.项目编号：XKY-CG2022</w:t>
      </w:r>
      <w:r>
        <w:rPr>
          <w:rFonts w:hint="eastAsia" w:ascii="仿宋" w:hAnsi="仿宋" w:eastAsia="仿宋" w:cs="仿宋"/>
          <w:color w:val="000000"/>
          <w:kern w:val="0"/>
          <w:sz w:val="24"/>
          <w:szCs w:val="24"/>
          <w:shd w:val="clear" w:color="auto" w:fill="auto"/>
          <w:lang w:val="en-US" w:eastAsia="zh-CN"/>
        </w:rPr>
        <w:t xml:space="preserve">017 </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3.预算金额：</w:t>
      </w:r>
      <w:r>
        <w:rPr>
          <w:rFonts w:hint="eastAsia" w:ascii="仿宋" w:hAnsi="仿宋" w:eastAsia="仿宋" w:cs="仿宋"/>
          <w:color w:val="000000"/>
          <w:kern w:val="0"/>
          <w:sz w:val="24"/>
          <w:szCs w:val="24"/>
          <w:shd w:val="clear" w:color="auto" w:fill="auto"/>
          <w:lang w:val="en-US" w:eastAsia="zh-CN"/>
        </w:rPr>
        <w:t>93300</w:t>
      </w:r>
      <w:r>
        <w:rPr>
          <w:rFonts w:hint="eastAsia" w:ascii="仿宋" w:hAnsi="仿宋" w:eastAsia="仿宋" w:cs="仿宋"/>
          <w:color w:val="000000"/>
          <w:kern w:val="0"/>
          <w:sz w:val="24"/>
          <w:szCs w:val="24"/>
          <w:shd w:val="clear" w:color="auto" w:fill="auto"/>
        </w:rPr>
        <w:t>元</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4.</w:t>
      </w:r>
      <w:r>
        <w:rPr>
          <w:rFonts w:hint="eastAsia" w:ascii="仿宋" w:hAnsi="仿宋" w:eastAsia="仿宋" w:cs="仿宋"/>
          <w:color w:val="000000"/>
          <w:kern w:val="0"/>
          <w:sz w:val="24"/>
          <w:szCs w:val="24"/>
          <w:shd w:val="clear" w:color="auto" w:fill="auto"/>
          <w:lang w:eastAsia="zh-CN"/>
        </w:rPr>
        <w:t>采购内容：详见招标文件</w:t>
      </w:r>
    </w:p>
    <w:p>
      <w:pPr>
        <w:keepNext w:val="0"/>
        <w:keepLines w:val="0"/>
        <w:pageBreakBefore w:val="0"/>
        <w:kinsoku/>
        <w:wordWrap/>
        <w:overflowPunct/>
        <w:topLinePunct w:val="0"/>
        <w:autoSpaceDE/>
        <w:autoSpaceDN/>
        <w:bidi w:val="0"/>
        <w:snapToGrid/>
        <w:spacing w:line="520" w:lineRule="exact"/>
        <w:ind w:firstLine="472" w:firstLineChars="196"/>
        <w:textAlignment w:val="auto"/>
        <w:rPr>
          <w:rFonts w:hint="eastAsia" w:ascii="仿宋" w:hAnsi="仿宋" w:eastAsia="仿宋"/>
          <w:b/>
          <w:sz w:val="24"/>
          <w:szCs w:val="24"/>
        </w:rPr>
      </w:pPr>
      <w:r>
        <w:rPr>
          <w:rFonts w:hint="eastAsia" w:ascii="仿宋" w:hAnsi="仿宋" w:eastAsia="仿宋"/>
          <w:b/>
          <w:sz w:val="24"/>
          <w:szCs w:val="24"/>
        </w:rPr>
        <w:t>二、投标人的资格要求：</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采购项目的特定资格条件：无。</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keepNext w:val="0"/>
        <w:keepLines w:val="0"/>
        <w:pageBreakBefore w:val="0"/>
        <w:widowControl/>
        <w:kinsoku/>
        <w:wordWrap/>
        <w:overflowPunct/>
        <w:topLinePunct w:val="0"/>
        <w:autoSpaceDE/>
        <w:autoSpaceDN/>
        <w:bidi w:val="0"/>
        <w:snapToGrid/>
        <w:spacing w:line="52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keepNext w:val="0"/>
        <w:keepLines w:val="0"/>
        <w:pageBreakBefore w:val="0"/>
        <w:widowControl/>
        <w:kinsoku/>
        <w:wordWrap/>
        <w:overflowPunct/>
        <w:topLinePunct w:val="0"/>
        <w:autoSpaceDE/>
        <w:autoSpaceDN/>
        <w:bidi w:val="0"/>
        <w:snapToGrid/>
        <w:spacing w:line="520" w:lineRule="exact"/>
        <w:ind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default" w:ascii="仿宋" w:hAnsi="仿宋" w:eastAsia="仿宋" w:cs="仿宋"/>
          <w:b/>
          <w:bCs/>
          <w:color w:val="000000"/>
          <w:sz w:val="24"/>
          <w:szCs w:val="24"/>
        </w:rPr>
      </w:pPr>
      <w:r>
        <w:rPr>
          <w:rFonts w:hint="eastAsia" w:ascii="仿宋" w:hAnsi="仿宋" w:eastAsia="仿宋" w:cs="仿宋"/>
          <w:b/>
          <w:bCs/>
          <w:color w:val="000000"/>
          <w:sz w:val="24"/>
          <w:szCs w:val="24"/>
        </w:rPr>
        <w:t>四、投标截止时间和开标时间及地点</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1.投标文件递交截止时间及开标时间：</w:t>
      </w:r>
      <w:r>
        <w:rPr>
          <w:rFonts w:hint="eastAsia" w:ascii="仿宋" w:hAnsi="仿宋" w:eastAsia="仿宋" w:cs="Times New Roman"/>
          <w:sz w:val="24"/>
        </w:rPr>
        <w:t>2022年</w:t>
      </w:r>
      <w:r>
        <w:rPr>
          <w:rFonts w:hint="eastAsia" w:ascii="仿宋" w:hAnsi="仿宋" w:eastAsia="仿宋" w:cs="Times New Roman"/>
          <w:sz w:val="24"/>
          <w:lang w:val="en-US" w:eastAsia="zh-CN"/>
        </w:rPr>
        <w:t>7</w:t>
      </w:r>
      <w:r>
        <w:rPr>
          <w:rFonts w:hint="eastAsia" w:ascii="仿宋" w:hAnsi="仿宋" w:eastAsia="仿宋" w:cs="Times New Roman"/>
          <w:sz w:val="24"/>
        </w:rPr>
        <w:t>月</w:t>
      </w:r>
      <w:r>
        <w:rPr>
          <w:rFonts w:hint="eastAsia" w:ascii="仿宋" w:hAnsi="仿宋" w:eastAsia="仿宋" w:cs="Times New Roman"/>
          <w:sz w:val="24"/>
          <w:lang w:val="en-US" w:eastAsia="zh-CN"/>
        </w:rPr>
        <w:t>4</w:t>
      </w:r>
      <w:r>
        <w:rPr>
          <w:rFonts w:hint="eastAsia" w:ascii="仿宋" w:hAnsi="仿宋" w:eastAsia="仿宋" w:cs="Times New Roman"/>
          <w:sz w:val="24"/>
        </w:rPr>
        <w:t>日</w:t>
      </w:r>
      <w:r>
        <w:rPr>
          <w:rFonts w:hint="eastAsia" w:ascii="仿宋" w:hAnsi="仿宋" w:eastAsia="仿宋" w:cs="Times New Roman"/>
          <w:sz w:val="24"/>
          <w:lang w:val="en-US" w:eastAsia="zh-CN"/>
        </w:rPr>
        <w:t>10:00</w:t>
      </w:r>
      <w:r>
        <w:rPr>
          <w:rFonts w:hint="eastAsia" w:ascii="仿宋" w:hAnsi="仿宋" w:eastAsia="仿宋" w:cs="Times New Roman"/>
          <w:sz w:val="24"/>
        </w:rPr>
        <w:t>（北京时间）。</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keepNext w:val="0"/>
        <w:keepLines w:val="0"/>
        <w:pageBreakBefore w:val="0"/>
        <w:widowControl/>
        <w:kinsoku/>
        <w:wordWrap/>
        <w:overflowPunct/>
        <w:topLinePunct w:val="0"/>
        <w:autoSpaceDE/>
        <w:autoSpaceDN/>
        <w:bidi w:val="0"/>
        <w:adjustRightInd w:val="0"/>
        <w:snapToGrid/>
        <w:spacing w:line="520" w:lineRule="exact"/>
        <w:ind w:firstLine="480" w:firstLineChars="200"/>
        <w:jc w:val="left"/>
        <w:textAlignment w:val="auto"/>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五</w:t>
      </w:r>
      <w:r>
        <w:rPr>
          <w:rFonts w:hint="eastAsia" w:ascii="仿宋" w:hAnsi="仿宋" w:eastAsia="仿宋" w:cs="宋体"/>
          <w:b/>
          <w:color w:val="000000"/>
          <w:sz w:val="24"/>
          <w:shd w:val="clear" w:color="auto" w:fill="auto"/>
        </w:rPr>
        <w:t>、联系方式</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采购人：湖南科技学院</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联系人：周老师 联系电话：0746-</w:t>
      </w:r>
      <w:r>
        <w:rPr>
          <w:rFonts w:hint="eastAsia" w:ascii="仿宋" w:hAnsi="仿宋" w:eastAsia="仿宋" w:cs="宋体"/>
          <w:color w:val="000000"/>
          <w:sz w:val="24"/>
          <w:shd w:val="clear" w:color="auto" w:fill="auto"/>
          <w:lang w:val="en-US" w:eastAsia="zh-CN"/>
        </w:rPr>
        <w:t>6381184</w:t>
      </w:r>
      <w:r>
        <w:rPr>
          <w:rFonts w:hint="eastAsia" w:ascii="仿宋" w:hAnsi="仿宋" w:eastAsia="仿宋" w:cs="宋体"/>
          <w:color w:val="000000"/>
          <w:sz w:val="24"/>
          <w:shd w:val="clear" w:color="auto" w:fill="auto"/>
        </w:rPr>
        <w:t>。</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采购代理机构：湖南科技学院采购中心</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联系人：蒋老师 联系电话：0746-6388315。</w:t>
      </w:r>
    </w:p>
    <w:p>
      <w:pPr>
        <w:keepNext w:val="0"/>
        <w:keepLines w:val="0"/>
        <w:pageBreakBefore w:val="0"/>
        <w:numPr>
          <w:ilvl w:val="0"/>
          <w:numId w:val="0"/>
        </w:numPr>
        <w:kinsoku/>
        <w:wordWrap/>
        <w:overflowPunct/>
        <w:topLinePunct w:val="0"/>
        <w:autoSpaceDE/>
        <w:autoSpaceDN/>
        <w:bidi w:val="0"/>
        <w:snapToGrid/>
        <w:spacing w:line="520" w:lineRule="exact"/>
        <w:ind w:left="481" w:leftChars="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六、</w:t>
      </w:r>
      <w:r>
        <w:rPr>
          <w:rFonts w:hint="eastAsia" w:ascii="仿宋" w:hAnsi="仿宋" w:eastAsia="仿宋" w:cs="宋体"/>
          <w:b/>
          <w:color w:val="000000"/>
          <w:sz w:val="24"/>
          <w:shd w:val="clear" w:color="auto" w:fill="auto"/>
        </w:rPr>
        <w:t>采购监督管理部门：</w:t>
      </w:r>
    </w:p>
    <w:p>
      <w:pPr>
        <w:keepNext w:val="0"/>
        <w:keepLines w:val="0"/>
        <w:pageBreakBefore w:val="0"/>
        <w:numPr>
          <w:ilvl w:val="0"/>
          <w:numId w:val="0"/>
        </w:numPr>
        <w:kinsoku/>
        <w:wordWrap/>
        <w:overflowPunct/>
        <w:topLinePunct w:val="0"/>
        <w:autoSpaceDE/>
        <w:autoSpaceDN/>
        <w:bidi w:val="0"/>
        <w:snapToGrid/>
        <w:spacing w:line="520" w:lineRule="exact"/>
        <w:ind w:left="481" w:leftChars="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湖南科技学院监察处   监督电话：0746-6381404。</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宋体" w:hAnsi="宋体"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第二章 招标须知</w:t>
      </w:r>
      <w:r>
        <w:rPr>
          <w:rFonts w:hint="eastAsia" w:ascii="宋体" w:hAnsi="宋体" w:eastAsia="仿宋" w:cs="宋体"/>
          <w:b/>
          <w:color w:val="000000"/>
          <w:sz w:val="32"/>
          <w:szCs w:val="32"/>
          <w:shd w:val="clear" w:color="auto" w:fill="auto"/>
        </w:rPr>
        <w:t> </w:t>
      </w:r>
    </w:p>
    <w:p>
      <w:pPr>
        <w:keepNext w:val="0"/>
        <w:keepLines w:val="0"/>
        <w:pageBreakBefore w:val="0"/>
        <w:kinsoku/>
        <w:wordWrap/>
        <w:overflowPunct/>
        <w:topLinePunct w:val="0"/>
        <w:autoSpaceDE/>
        <w:autoSpaceDN/>
        <w:bidi w:val="0"/>
        <w:spacing w:line="520" w:lineRule="exact"/>
        <w:ind w:right="0" w:rightChars="0"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adjustRightInd w:val="0"/>
        <w:snapToGrid w:val="0"/>
        <w:spacing w:line="52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1.采购名称：</w:t>
      </w:r>
      <w:r>
        <w:rPr>
          <w:rFonts w:hint="eastAsia" w:ascii="仿宋" w:hAnsi="仿宋" w:eastAsia="仿宋" w:cs="仿宋"/>
          <w:color w:val="000000"/>
          <w:kern w:val="0"/>
          <w:sz w:val="24"/>
          <w:szCs w:val="24"/>
          <w:shd w:val="clear" w:color="auto" w:fill="auto"/>
        </w:rPr>
        <w:t>湖南科技学院</w:t>
      </w:r>
      <w:r>
        <w:rPr>
          <w:rFonts w:hint="eastAsia" w:ascii="仿宋" w:hAnsi="仿宋" w:eastAsia="仿宋" w:cs="仿宋"/>
          <w:color w:val="000000"/>
          <w:kern w:val="0"/>
          <w:sz w:val="24"/>
          <w:szCs w:val="24"/>
          <w:shd w:val="clear" w:color="auto" w:fill="auto"/>
          <w:lang w:eastAsia="zh-CN"/>
        </w:rPr>
        <w:t>实训大楼监控建设项目</w:t>
      </w:r>
    </w:p>
    <w:p>
      <w:pPr>
        <w:keepNext w:val="0"/>
        <w:keepLines w:val="0"/>
        <w:pageBreakBefore w:val="0"/>
        <w:kinsoku/>
        <w:wordWrap/>
        <w:overflowPunct/>
        <w:topLinePunct w:val="0"/>
        <w:autoSpaceDE/>
        <w:autoSpaceDN/>
        <w:bidi w:val="0"/>
        <w:adjustRightInd w:val="0"/>
        <w:snapToGrid w:val="0"/>
        <w:spacing w:line="520" w:lineRule="exact"/>
        <w:ind w:right="0" w:rightChars="0"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2.项目编号：</w:t>
      </w:r>
      <w:r>
        <w:rPr>
          <w:rFonts w:hint="eastAsia" w:ascii="仿宋" w:hAnsi="仿宋" w:eastAsia="仿宋" w:cs="仿宋"/>
          <w:color w:val="000000"/>
          <w:kern w:val="0"/>
          <w:sz w:val="24"/>
          <w:szCs w:val="24"/>
        </w:rPr>
        <w:t>XKY-CG2022</w:t>
      </w:r>
      <w:r>
        <w:rPr>
          <w:rFonts w:hint="eastAsia" w:ascii="仿宋" w:hAnsi="仿宋" w:eastAsia="仿宋" w:cs="仿宋"/>
          <w:color w:val="000000"/>
          <w:kern w:val="0"/>
          <w:sz w:val="24"/>
          <w:szCs w:val="24"/>
          <w:lang w:val="en-US" w:eastAsia="zh-CN"/>
        </w:rPr>
        <w:t>017</w:t>
      </w:r>
    </w:p>
    <w:p>
      <w:pPr>
        <w:keepNext w:val="0"/>
        <w:keepLines w:val="0"/>
        <w:pageBreakBefore w:val="0"/>
        <w:kinsoku/>
        <w:wordWrap/>
        <w:overflowPunct/>
        <w:topLinePunct w:val="0"/>
        <w:autoSpaceDE/>
        <w:autoSpaceDN/>
        <w:bidi w:val="0"/>
        <w:adjustRightInd w:val="0"/>
        <w:snapToGrid w:val="0"/>
        <w:spacing w:line="52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3.预算金额：93300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adjustRightInd w:val="0"/>
        <w:snapToGrid w:val="0"/>
        <w:spacing w:line="520" w:lineRule="exact"/>
        <w:ind w:right="0" w:rightChars="0"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4.采购内容：见招标文件第三章采购需求</w:t>
      </w:r>
    </w:p>
    <w:p>
      <w:pPr>
        <w:keepNext w:val="0"/>
        <w:keepLines w:val="0"/>
        <w:pageBreakBefore w:val="0"/>
        <w:kinsoku/>
        <w:wordWrap/>
        <w:overflowPunct/>
        <w:topLinePunct w:val="0"/>
        <w:autoSpaceDE/>
        <w:autoSpaceDN/>
        <w:bidi w:val="0"/>
        <w:adjustRightInd w:val="0"/>
        <w:snapToGrid w:val="0"/>
        <w:spacing w:line="520" w:lineRule="exact"/>
        <w:ind w:right="0" w:rightChars="0" w:firstLine="482" w:firstLineChars="200"/>
        <w:textAlignment w:val="auto"/>
        <w:rPr>
          <w:rFonts w:hint="eastAsia" w:ascii="仿宋" w:hAnsi="仿宋" w:eastAsia="仿宋" w:cs="仿宋"/>
          <w:color w:val="auto"/>
          <w:kern w:val="0"/>
          <w:sz w:val="24"/>
          <w:szCs w:val="24"/>
          <w:highlight w:val="none"/>
          <w:shd w:val="clear" w:color="auto" w:fill="auto"/>
          <w:lang w:val="en-US" w:eastAsia="zh-CN"/>
        </w:rPr>
      </w:pPr>
      <w:r>
        <w:rPr>
          <w:rFonts w:hint="eastAsia" w:ascii="仿宋" w:hAnsi="仿宋" w:eastAsia="仿宋" w:cs="仿宋"/>
          <w:b/>
          <w:bCs/>
          <w:color w:val="auto"/>
          <w:kern w:val="0"/>
          <w:sz w:val="24"/>
          <w:szCs w:val="24"/>
          <w:highlight w:val="none"/>
          <w:shd w:val="clear" w:color="auto" w:fill="auto"/>
          <w:lang w:val="en-US" w:eastAsia="zh-CN"/>
        </w:rPr>
        <w:t>二、评标方式：</w:t>
      </w:r>
      <w:r>
        <w:rPr>
          <w:rFonts w:hint="eastAsia" w:ascii="仿宋" w:hAnsi="仿宋" w:eastAsia="仿宋" w:cs="仿宋"/>
          <w:color w:val="auto"/>
          <w:kern w:val="0"/>
          <w:sz w:val="24"/>
          <w:szCs w:val="24"/>
          <w:highlight w:val="none"/>
          <w:shd w:val="clear" w:color="auto" w:fill="auto"/>
          <w:lang w:val="en-US" w:eastAsia="zh-CN"/>
        </w:rPr>
        <w:t>采用综合评分法</w:t>
      </w:r>
    </w:p>
    <w:p>
      <w:pPr>
        <w:keepNext w:val="0"/>
        <w:keepLines w:val="0"/>
        <w:pageBreakBefore w:val="0"/>
        <w:kinsoku/>
        <w:wordWrap/>
        <w:overflowPunct/>
        <w:topLinePunct w:val="0"/>
        <w:autoSpaceDE/>
        <w:autoSpaceDN/>
        <w:bidi w:val="0"/>
        <w:spacing w:line="520" w:lineRule="exact"/>
        <w:ind w:right="0" w:rightChars="0" w:firstLine="482" w:firstLineChars="200"/>
        <w:textAlignment w:val="auto"/>
        <w:rPr>
          <w:rFonts w:hint="eastAsia" w:ascii="仿宋" w:hAnsi="仿宋" w:eastAsia="仿宋" w:cs="宋体"/>
          <w:color w:val="000000"/>
          <w:sz w:val="24"/>
          <w:szCs w:val="24"/>
          <w:lang w:eastAsia="zh-CN"/>
        </w:rPr>
      </w:pPr>
      <w:r>
        <w:rPr>
          <w:rFonts w:hint="eastAsia" w:ascii="仿宋" w:hAnsi="仿宋" w:eastAsia="仿宋" w:cs="宋体"/>
          <w:b/>
          <w:color w:val="000000"/>
          <w:sz w:val="24"/>
          <w:szCs w:val="24"/>
          <w:lang w:eastAsia="zh-CN"/>
        </w:rPr>
        <w:t>三</w:t>
      </w:r>
      <w:r>
        <w:rPr>
          <w:rFonts w:hint="eastAsia" w:ascii="仿宋" w:hAnsi="仿宋" w:eastAsia="仿宋" w:cs="宋体"/>
          <w:b/>
          <w:color w:val="000000"/>
          <w:sz w:val="24"/>
          <w:szCs w:val="24"/>
        </w:rPr>
        <w:t>、现场查勘</w:t>
      </w:r>
      <w:r>
        <w:rPr>
          <w:rFonts w:hint="eastAsia" w:ascii="仿宋" w:hAnsi="仿宋" w:eastAsia="仿宋" w:cs="宋体"/>
          <w:color w:val="000000"/>
          <w:sz w:val="24"/>
          <w:szCs w:val="24"/>
        </w:rPr>
        <w:t>：</w:t>
      </w:r>
      <w:r>
        <w:rPr>
          <w:rFonts w:hint="eastAsia" w:ascii="仿宋" w:hAnsi="仿宋" w:eastAsia="仿宋" w:cs="宋体"/>
          <w:color w:val="000000"/>
          <w:sz w:val="24"/>
          <w:szCs w:val="24"/>
          <w:lang w:eastAsia="zh-CN"/>
        </w:rPr>
        <w:t>可联系采购人也可</w:t>
      </w:r>
      <w:r>
        <w:rPr>
          <w:rFonts w:hint="eastAsia" w:ascii="仿宋" w:hAnsi="仿宋" w:eastAsia="仿宋" w:cs="宋体"/>
          <w:color w:val="000000"/>
          <w:sz w:val="24"/>
          <w:szCs w:val="24"/>
        </w:rPr>
        <w:t>自行查勘</w:t>
      </w:r>
      <w:r>
        <w:rPr>
          <w:rFonts w:hint="eastAsia" w:ascii="仿宋" w:hAnsi="仿宋" w:eastAsia="仿宋" w:cs="宋体"/>
          <w:color w:val="000000"/>
          <w:sz w:val="24"/>
          <w:szCs w:val="24"/>
          <w:lang w:eastAsia="zh-CN"/>
        </w:rPr>
        <w:t>。</w:t>
      </w:r>
    </w:p>
    <w:p>
      <w:pPr>
        <w:keepNext w:val="0"/>
        <w:keepLines w:val="0"/>
        <w:pageBreakBefore w:val="0"/>
        <w:kinsoku/>
        <w:wordWrap/>
        <w:overflowPunct/>
        <w:topLinePunct w:val="0"/>
        <w:autoSpaceDE/>
        <w:autoSpaceDN/>
        <w:bidi w:val="0"/>
        <w:snapToGrid/>
        <w:spacing w:line="520" w:lineRule="exact"/>
        <w:ind w:right="0" w:rightChars="0"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w:t>
      </w:r>
      <w:r>
        <w:rPr>
          <w:rFonts w:hint="eastAsia" w:ascii="仿宋" w:hAnsi="仿宋" w:eastAsia="仿宋" w:cs="仿宋"/>
          <w:b/>
          <w:bCs/>
          <w:color w:val="000000"/>
          <w:kern w:val="0"/>
          <w:sz w:val="24"/>
          <w:szCs w:val="24"/>
          <w:lang w:val="en-US" w:eastAsia="zh-CN"/>
        </w:rPr>
        <w:t>交货时间：</w:t>
      </w:r>
      <w:r>
        <w:rPr>
          <w:rFonts w:hint="eastAsia" w:ascii="仿宋" w:hAnsi="仿宋" w:eastAsia="仿宋" w:cs="仿宋"/>
          <w:color w:val="auto"/>
          <w:kern w:val="0"/>
          <w:sz w:val="24"/>
          <w:szCs w:val="24"/>
          <w:highlight w:val="none"/>
          <w:shd w:val="clear" w:color="auto" w:fill="auto"/>
          <w:lang w:val="en-US" w:eastAsia="zh-CN"/>
        </w:rPr>
        <w:t>2022年7月30日前。</w:t>
      </w:r>
    </w:p>
    <w:p>
      <w:pPr>
        <w:keepNext w:val="0"/>
        <w:keepLines w:val="0"/>
        <w:pageBreakBefore w:val="0"/>
        <w:kinsoku/>
        <w:wordWrap/>
        <w:overflowPunct/>
        <w:topLinePunct w:val="0"/>
        <w:autoSpaceDE/>
        <w:autoSpaceDN/>
        <w:bidi w:val="0"/>
        <w:snapToGrid/>
        <w:spacing w:line="520" w:lineRule="exact"/>
        <w:ind w:right="0" w:rightChars="0"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color w:val="000000"/>
          <w:kern w:val="0"/>
          <w:sz w:val="24"/>
          <w:szCs w:val="24"/>
          <w:lang w:val="en-US" w:eastAsia="zh-CN"/>
        </w:rPr>
        <w:t>五、投标保证金：不须缴纳，投标人须递交投标保证承诺函（见第八章）。</w:t>
      </w:r>
    </w:p>
    <w:p>
      <w:pPr>
        <w:keepNext w:val="0"/>
        <w:keepLines w:val="0"/>
        <w:pageBreakBefore w:val="0"/>
        <w:kinsoku/>
        <w:wordWrap/>
        <w:overflowPunct/>
        <w:topLinePunct w:val="0"/>
        <w:autoSpaceDE/>
        <w:autoSpaceDN/>
        <w:bidi w:val="0"/>
        <w:adjustRightInd/>
        <w:snapToGrid/>
        <w:spacing w:line="520" w:lineRule="exact"/>
        <w:ind w:right="0" w:rightChars="0" w:firstLine="482"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六、</w:t>
      </w:r>
      <w:r>
        <w:rPr>
          <w:rFonts w:hint="eastAsia" w:ascii="仿宋" w:hAnsi="仿宋" w:eastAsia="仿宋" w:cs="仿宋"/>
          <w:b/>
          <w:bCs/>
          <w:color w:val="auto"/>
          <w:sz w:val="24"/>
          <w:szCs w:val="24"/>
          <w:highlight w:val="none"/>
        </w:rPr>
        <w:t>履约保证金</w:t>
      </w:r>
      <w:r>
        <w:rPr>
          <w:rFonts w:hint="eastAsia" w:ascii="仿宋" w:hAnsi="仿宋" w:eastAsia="仿宋" w:cs="仿宋"/>
          <w:b/>
          <w:bCs/>
          <w:color w:val="auto"/>
          <w:sz w:val="24"/>
          <w:szCs w:val="24"/>
          <w:highlight w:val="none"/>
          <w:lang w:eastAsia="zh-CN"/>
        </w:rPr>
        <w:t>及相关要求：</w:t>
      </w:r>
    </w:p>
    <w:p>
      <w:pPr>
        <w:keepNext w:val="0"/>
        <w:keepLines w:val="0"/>
        <w:pageBreakBefore w:val="0"/>
        <w:kinsoku/>
        <w:wordWrap/>
        <w:overflowPunct/>
        <w:topLinePunct w:val="0"/>
        <w:autoSpaceDE/>
        <w:autoSpaceDN/>
        <w:bidi w:val="0"/>
        <w:adjustRightInd/>
        <w:snapToGrid/>
        <w:spacing w:line="520" w:lineRule="exact"/>
        <w:ind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中标人在领取中标通知书前，须向采购人缴纳中标金额</w:t>
      </w:r>
      <w:r>
        <w:rPr>
          <w:rFonts w:hint="eastAsia" w:ascii="仿宋" w:hAnsi="仿宋" w:eastAsia="仿宋" w:cs="仿宋"/>
          <w:color w:val="auto"/>
          <w:sz w:val="24"/>
          <w:szCs w:val="24"/>
          <w:highlight w:val="none"/>
          <w:lang w:val="en-US" w:eastAsia="zh-CN"/>
        </w:rPr>
        <w:t>5％的履约保证金。</w:t>
      </w:r>
      <w:r>
        <w:rPr>
          <w:rFonts w:hint="eastAsia" w:ascii="仿宋" w:hAnsi="仿宋" w:eastAsia="仿宋" w:cs="仿宋"/>
          <w:color w:val="auto"/>
          <w:sz w:val="24"/>
          <w:szCs w:val="24"/>
          <w:highlight w:val="none"/>
        </w:rPr>
        <w:t>非</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原因</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且采购人有权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对中标人</w:t>
      </w:r>
      <w:r>
        <w:rPr>
          <w:rFonts w:hint="eastAsia" w:ascii="仿宋" w:hAnsi="仿宋" w:eastAsia="仿宋" w:cs="仿宋"/>
          <w:color w:val="auto"/>
          <w:sz w:val="24"/>
          <w:szCs w:val="24"/>
          <w:highlight w:val="none"/>
        </w:rPr>
        <w:t>由此产生的损失概不负责</w:t>
      </w:r>
      <w:r>
        <w:rPr>
          <w:rFonts w:hint="eastAsia" w:ascii="仿宋" w:hAnsi="仿宋" w:eastAsia="仿宋" w:cs="仿宋"/>
          <w:color w:val="auto"/>
          <w:sz w:val="24"/>
          <w:szCs w:val="24"/>
          <w:highlight w:val="none"/>
          <w:lang w:eastAsia="zh-CN"/>
        </w:rPr>
        <w:t>。项目完成并经采购人验收合格，采购人一次性无息退还给中标人</w:t>
      </w:r>
      <w:r>
        <w:rPr>
          <w:rFonts w:hint="eastAsia" w:ascii="仿宋" w:hAnsi="仿宋" w:eastAsia="仿宋" w:cs="仿宋"/>
          <w:color w:val="auto"/>
          <w:sz w:val="24"/>
          <w:szCs w:val="24"/>
          <w:highlight w:val="none"/>
        </w:rPr>
        <w:t>。</w:t>
      </w:r>
    </w:p>
    <w:p>
      <w:pPr>
        <w:keepNext w:val="0"/>
        <w:keepLines w:val="0"/>
        <w:pageBreakBefore w:val="0"/>
        <w:kinsoku/>
        <w:wordWrap/>
        <w:overflowPunct/>
        <w:topLinePunct w:val="0"/>
        <w:autoSpaceDE/>
        <w:autoSpaceDN/>
        <w:bidi w:val="0"/>
        <w:adjustRightInd/>
        <w:snapToGrid/>
        <w:spacing w:line="520" w:lineRule="exact"/>
        <w:ind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2.中标人</w:t>
      </w:r>
      <w:r>
        <w:rPr>
          <w:rFonts w:hint="eastAsia" w:ascii="仿宋" w:hAnsi="仿宋" w:eastAsia="仿宋" w:cs="仿宋"/>
          <w:color w:val="auto"/>
          <w:sz w:val="24"/>
          <w:szCs w:val="24"/>
          <w:highlight w:val="none"/>
          <w:lang w:eastAsia="zh-CN"/>
        </w:rPr>
        <w:t>在领取中标通知书前，未按以上要求缴纳履约保证金的，采购人视为其自动放弃中标资格，并将该中标人列入采购人的不诚信供应商档案库，三年内拒绝其参与采购人的招投标活动。排名第二的中标候选人可顺延为中标人，以此类推。</w:t>
      </w:r>
    </w:p>
    <w:p>
      <w:pPr>
        <w:widowControl/>
        <w:spacing w:line="380" w:lineRule="exact"/>
        <w:ind w:firstLine="482" w:firstLineChars="200"/>
        <w:jc w:val="left"/>
        <w:rPr>
          <w:rFonts w:hint="eastAsia" w:ascii="仿宋" w:hAnsi="仿宋" w:eastAsia="仿宋" w:cs="仿宋"/>
          <w:b/>
          <w:bCs/>
          <w:color w:val="000000"/>
          <w:kern w:val="0"/>
          <w:sz w:val="24"/>
          <w:szCs w:val="24"/>
          <w:lang w:eastAsia="zh-CN"/>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特定情形：</w:t>
      </w:r>
      <w:r>
        <w:rPr>
          <w:rFonts w:hint="eastAsia" w:ascii="仿宋" w:hAnsi="仿宋" w:eastAsia="仿宋" w:cs="仿宋"/>
          <w:b w:val="0"/>
          <w:bCs w:val="0"/>
          <w:color w:val="000000"/>
          <w:kern w:val="0"/>
          <w:sz w:val="24"/>
          <w:szCs w:val="24"/>
        </w:rPr>
        <w:t>当通过资格性及符合性审查的有效供应商数量等于两家时，</w:t>
      </w:r>
      <w:r>
        <w:rPr>
          <w:rFonts w:hint="eastAsia" w:ascii="仿宋" w:hAnsi="仿宋" w:eastAsia="仿宋" w:cs="Times New Roman"/>
          <w:color w:val="000000"/>
          <w:kern w:val="2"/>
          <w:sz w:val="24"/>
          <w:szCs w:val="24"/>
          <w:lang w:val="en-US" w:eastAsia="zh-CN" w:bidi="ar-SA"/>
        </w:rPr>
        <w:t>采购人有权对已报名的供应商进行资格性及符合性审查，审查通过后，采购人将直接对报名的供应商进行评审。</w:t>
      </w:r>
    </w:p>
    <w:p>
      <w:pPr>
        <w:keepNext w:val="0"/>
        <w:keepLines w:val="0"/>
        <w:pageBreakBefore w:val="0"/>
        <w:widowControl/>
        <w:kinsoku/>
        <w:wordWrap/>
        <w:overflowPunct/>
        <w:topLinePunct w:val="0"/>
        <w:autoSpaceDE/>
        <w:autoSpaceDN/>
        <w:bidi w:val="0"/>
        <w:adjustRightInd/>
        <w:snapToGrid/>
        <w:spacing w:line="520" w:lineRule="exact"/>
        <w:ind w:right="0" w:rightChars="0"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adjustRightInd/>
        <w:snapToGrid/>
        <w:spacing w:line="520" w:lineRule="exact"/>
        <w:ind w:right="0" w:rightChars="0"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adjustRightInd/>
        <w:snapToGrid/>
        <w:spacing w:line="52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上架至电子卖场，商品上架后方能签订合同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超过15日未按要求入驻电子卖场的视为自动放弃中标资格。</w:t>
      </w:r>
    </w:p>
    <w:p>
      <w:pPr>
        <w:keepNext w:val="0"/>
        <w:keepLines w:val="0"/>
        <w:pageBreakBefore w:val="0"/>
        <w:kinsoku/>
        <w:wordWrap/>
        <w:overflowPunct/>
        <w:topLinePunct w:val="0"/>
        <w:autoSpaceDE/>
        <w:autoSpaceDN/>
        <w:bidi w:val="0"/>
        <w:adjustRightInd/>
        <w:snapToGrid/>
        <w:spacing w:line="52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pStyle w:val="2"/>
        <w:keepNext w:val="0"/>
        <w:keepLines w:val="0"/>
        <w:pageBreakBefore w:val="0"/>
        <w:widowControl w:val="0"/>
        <w:kinsoku/>
        <w:wordWrap/>
        <w:overflowPunct/>
        <w:topLinePunct w:val="0"/>
        <w:autoSpaceDE/>
        <w:autoSpaceDN/>
        <w:bidi w:val="0"/>
        <w:adjustRightInd/>
        <w:snapToGrid/>
        <w:spacing w:before="0" w:beforeAutospacing="0" w:after="0" w:line="520" w:lineRule="exact"/>
        <w:ind w:left="0" w:leftChars="0" w:right="0" w:rightChars="0"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4.付款方式：中标人在申请付款前须向采购人开具增值税专用发票，详见合同相关条款。</w:t>
      </w:r>
    </w:p>
    <w:p>
      <w:pPr>
        <w:keepNext w:val="0"/>
        <w:keepLines w:val="0"/>
        <w:pageBreakBefore w:val="0"/>
        <w:kinsoku/>
        <w:wordWrap/>
        <w:overflowPunct/>
        <w:topLinePunct w:val="0"/>
        <w:autoSpaceDE/>
        <w:autoSpaceDN/>
        <w:bidi w:val="0"/>
        <w:spacing w:line="520" w:lineRule="exact"/>
        <w:ind w:right="0" w:rightChars="0" w:firstLine="482" w:firstLineChars="200"/>
        <w:textAlignment w:val="auto"/>
        <w:rPr>
          <w:rFonts w:hint="eastAsia" w:ascii="仿宋" w:hAnsi="仿宋" w:eastAsia="仿宋" w:cs="宋体"/>
          <w:b/>
          <w:color w:val="000000"/>
          <w:sz w:val="24"/>
          <w:szCs w:val="24"/>
          <w:highlight w:val="none"/>
          <w:shd w:val="clear" w:color="auto" w:fill="auto"/>
        </w:rPr>
      </w:pPr>
      <w:r>
        <w:rPr>
          <w:rFonts w:hint="eastAsia" w:ascii="仿宋" w:hAnsi="仿宋" w:eastAsia="仿宋" w:cs="宋体"/>
          <w:b/>
          <w:color w:val="000000"/>
          <w:sz w:val="24"/>
          <w:szCs w:val="24"/>
          <w:highlight w:val="none"/>
          <w:shd w:val="clear" w:color="auto" w:fill="auto"/>
          <w:lang w:eastAsia="zh-CN"/>
        </w:rPr>
        <w:t>九</w:t>
      </w:r>
      <w:r>
        <w:rPr>
          <w:rFonts w:hint="eastAsia" w:ascii="仿宋" w:hAnsi="仿宋" w:eastAsia="仿宋" w:cs="宋体"/>
          <w:b/>
          <w:color w:val="000000"/>
          <w:sz w:val="24"/>
          <w:szCs w:val="24"/>
          <w:highlight w:val="none"/>
          <w:shd w:val="clear" w:color="auto" w:fill="auto"/>
        </w:rPr>
        <w:t>、其他约定：</w:t>
      </w:r>
      <w:r>
        <w:rPr>
          <w:rFonts w:hint="eastAsia" w:ascii="仿宋" w:hAnsi="仿宋" w:eastAsia="仿宋" w:cs="宋体"/>
          <w:color w:val="000000"/>
          <w:sz w:val="24"/>
          <w:szCs w:val="24"/>
          <w:highlight w:val="none"/>
          <w:shd w:val="clear" w:color="auto" w:fill="auto"/>
        </w:rPr>
        <w:t>本项目不允许分包、转包。</w:t>
      </w:r>
    </w:p>
    <w:p>
      <w:pPr>
        <w:keepNext w:val="0"/>
        <w:keepLines w:val="0"/>
        <w:pageBreakBefore w:val="0"/>
        <w:widowControl/>
        <w:kinsoku/>
        <w:wordWrap/>
        <w:overflowPunct/>
        <w:topLinePunct w:val="0"/>
        <w:autoSpaceDE/>
        <w:autoSpaceDN/>
        <w:bidi w:val="0"/>
        <w:adjustRightInd/>
        <w:snapToGrid/>
        <w:spacing w:line="520" w:lineRule="exact"/>
        <w:ind w:right="0" w:rightChars="0"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投标</w:t>
      </w:r>
      <w:r>
        <w:rPr>
          <w:rFonts w:hint="eastAsia" w:ascii="仿宋" w:hAnsi="仿宋" w:eastAsia="仿宋" w:cs="仿宋"/>
          <w:b/>
          <w:bCs/>
          <w:color w:val="000000"/>
          <w:kern w:val="0"/>
          <w:sz w:val="24"/>
          <w:szCs w:val="24"/>
        </w:rPr>
        <w:t>文件的组成</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2.报价表</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3.供应商的资格证明资料</w:t>
      </w:r>
      <w:r>
        <w:rPr>
          <w:rFonts w:hint="eastAsia" w:ascii="仿宋" w:hAnsi="仿宋" w:eastAsia="仿宋" w:cs="仿宋"/>
          <w:color w:val="000000"/>
          <w:kern w:val="0"/>
          <w:sz w:val="24"/>
          <w:szCs w:val="24"/>
          <w:lang w:eastAsia="zh-CN"/>
        </w:rPr>
        <w:t>（详见第七章）</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4.缴纳投标保证金证明材料（银行回执单）</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5.项目实施方案</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right="0" w:rightChars="0"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w:t>
      </w:r>
      <w:r>
        <w:rPr>
          <w:rFonts w:hint="eastAsia" w:ascii="仿宋" w:hAnsi="仿宋" w:eastAsia="仿宋" w:cs="仿宋"/>
          <w:b/>
          <w:bCs/>
          <w:color w:val="000000"/>
          <w:kern w:val="0"/>
          <w:sz w:val="24"/>
          <w:szCs w:val="24"/>
          <w:lang w:eastAsia="zh-CN"/>
        </w:rPr>
        <w:t>一</w:t>
      </w:r>
      <w:r>
        <w:rPr>
          <w:rFonts w:hint="eastAsia" w:ascii="仿宋" w:hAnsi="仿宋" w:eastAsia="仿宋" w:cs="仿宋"/>
          <w:b/>
          <w:bCs/>
          <w:color w:val="000000"/>
          <w:kern w:val="0"/>
          <w:sz w:val="24"/>
          <w:szCs w:val="24"/>
        </w:rPr>
        <w:t>副（须密封），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三</w:t>
      </w:r>
      <w:r>
        <w:rPr>
          <w:rFonts w:hint="eastAsia" w:ascii="仿宋" w:hAnsi="仿宋" w:eastAsia="仿宋"/>
          <w:b/>
          <w:sz w:val="36"/>
          <w:szCs w:val="36"/>
        </w:rPr>
        <w:t xml:space="preserve">章 </w:t>
      </w:r>
      <w:r>
        <w:rPr>
          <w:rFonts w:hint="eastAsia" w:ascii="仿宋" w:hAnsi="仿宋" w:eastAsia="仿宋"/>
          <w:b/>
          <w:sz w:val="36"/>
          <w:szCs w:val="36"/>
          <w:lang w:eastAsia="zh-CN"/>
        </w:rPr>
        <w:t>采购需求</w:t>
      </w:r>
    </w:p>
    <w:p>
      <w:pPr>
        <w:pStyle w:val="6"/>
        <w:adjustRightInd w:val="0"/>
        <w:snapToGrid w:val="0"/>
        <w:spacing w:before="156" w:beforeLines="50"/>
        <w:jc w:val="center"/>
        <w:rPr>
          <w:rFonts w:hint="eastAsia" w:ascii="仿宋" w:hAnsi="仿宋" w:eastAsia="仿宋" w:cs="仿宋"/>
          <w:sz w:val="28"/>
          <w:szCs w:val="28"/>
        </w:rPr>
      </w:pPr>
      <w:bookmarkStart w:id="0" w:name="_Toc28613087"/>
      <w:bookmarkStart w:id="1" w:name="_Toc20651234"/>
      <w:bookmarkStart w:id="2" w:name="_Toc43372372"/>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w:t>
      </w:r>
      <w:bookmarkEnd w:id="0"/>
      <w:bookmarkEnd w:id="1"/>
      <w:bookmarkEnd w:id="2"/>
    </w:p>
    <w:tbl>
      <w:tblPr>
        <w:tblStyle w:val="16"/>
        <w:tblW w:w="90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2791"/>
        <w:gridCol w:w="754"/>
        <w:gridCol w:w="815"/>
        <w:gridCol w:w="38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设备名称</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400万星光级枪机网络摄像机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22</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含枪机支架、电源、电源盒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400万星光级半球网络摄像机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bookmarkStart w:id="7" w:name="_GoBack"/>
            <w:bookmarkEnd w:id="7"/>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含电源、电源盒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32路硬盘录像机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6T监控硬盘</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电视机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HDMI高清数据线</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根</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10米以上/根，符合安装需要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24口千兆管理交换机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5口百兆POE交换机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9口百兆POE交换机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10口千兆POE交换机</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11</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1光1电光纤收发器</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含60路熔纤、跳纤、尾纤、耦合器、熔接盒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1光4电光纤收发器</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含48路熔纤、跳纤、尾纤、耦合器、熔接盒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13</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小号防水铁箱</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含数模化插座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中号防水铁箱</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 w:hAnsi="仿宋" w:eastAsia="仿宋" w:cs="仿宋"/>
                <w:i w:val="0"/>
                <w:iCs w:val="0"/>
                <w:color w:val="000000"/>
                <w:sz w:val="18"/>
                <w:szCs w:val="18"/>
                <w:u w:val="none"/>
                <w:lang w:eastAsia="zh-CN"/>
              </w:rPr>
            </w:pPr>
            <w:r>
              <w:rPr>
                <w:rFonts w:hint="eastAsia" w:ascii="仿宋" w:hAnsi="仿宋" w:eastAsia="仿宋" w:cs="仿宋"/>
                <w:i w:val="0"/>
                <w:iCs w:val="0"/>
                <w:color w:val="000000"/>
                <w:sz w:val="18"/>
                <w:szCs w:val="18"/>
                <w:u w:val="none"/>
                <w:lang w:eastAsia="zh-CN"/>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含数模化插座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15</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12U机柜</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16</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监控立杆</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含地笼，3个横臂，有一根双枪位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17</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超5类网线</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米</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2800</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含布线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18</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12芯光纤</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含布纤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19</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护套线</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含布线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20</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线管、线槽</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1800</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含布管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21</w:t>
            </w:r>
          </w:p>
        </w:tc>
        <w:tc>
          <w:tcPr>
            <w:tcW w:w="2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路面开沟回填</w:t>
            </w:r>
          </w:p>
        </w:tc>
        <w:tc>
          <w:tcPr>
            <w:tcW w:w="7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150</w:t>
            </w:r>
          </w:p>
        </w:tc>
        <w:tc>
          <w:tcPr>
            <w:tcW w:w="38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20cm＜厚度&lt;35cm，宽度&gt;10cm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90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以上单价均含安装调试、辅材、税金，不因施工难度增加而增加任何费用</w:t>
            </w:r>
          </w:p>
        </w:tc>
      </w:tr>
    </w:tbl>
    <w:p>
      <w:pPr>
        <w:keepNext w:val="0"/>
        <w:keepLines w:val="0"/>
        <w:pageBreakBefore w:val="0"/>
        <w:widowControl w:val="0"/>
        <w:kinsoku/>
        <w:wordWrap/>
        <w:overflowPunct/>
        <w:topLinePunct w:val="0"/>
        <w:autoSpaceDE/>
        <w:autoSpaceDN/>
        <w:bidi w:val="0"/>
        <w:adjustRightInd w:val="0"/>
        <w:snapToGrid w:val="0"/>
        <w:spacing w:beforeAutospacing="0" w:line="520" w:lineRule="exact"/>
        <w:ind w:firstLine="3092" w:firstLineChars="1100"/>
        <w:textAlignment w:val="auto"/>
        <w:rPr>
          <w:rFonts w:hint="eastAsia" w:ascii="仿宋" w:hAnsi="仿宋" w:eastAsia="仿宋" w:cs="仿宋"/>
          <w:b/>
          <w:sz w:val="24"/>
          <w:szCs w:val="24"/>
          <w:lang w:val="en-US" w:eastAsia="zh-CN"/>
        </w:rPr>
      </w:pPr>
      <w:r>
        <w:rPr>
          <w:rFonts w:hint="eastAsia" w:ascii="仿宋" w:hAnsi="仿宋" w:eastAsia="仿宋" w:cs="仿宋"/>
          <w:b/>
          <w:bCs/>
          <w:kern w:val="0"/>
          <w:sz w:val="28"/>
          <w:szCs w:val="28"/>
          <w:lang w:val="en-US" w:eastAsia="zh-CN" w:bidi="ar-SA"/>
        </w:rPr>
        <w:t xml:space="preserve">第二节   技术规格及参数 </w:t>
      </w:r>
    </w:p>
    <w:tbl>
      <w:tblPr>
        <w:tblStyle w:val="16"/>
        <w:tblW w:w="9043" w:type="dxa"/>
        <w:tblInd w:w="23" w:type="dxa"/>
        <w:tblLayout w:type="fixed"/>
        <w:tblCellMar>
          <w:top w:w="15" w:type="dxa"/>
          <w:left w:w="15" w:type="dxa"/>
          <w:bottom w:w="15" w:type="dxa"/>
          <w:right w:w="15" w:type="dxa"/>
        </w:tblCellMar>
      </w:tblPr>
      <w:tblGrid>
        <w:gridCol w:w="729"/>
        <w:gridCol w:w="1688"/>
        <w:gridCol w:w="6626"/>
      </w:tblGrid>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序号</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货物名称</w:t>
            </w:r>
          </w:p>
        </w:tc>
        <w:tc>
          <w:tcPr>
            <w:tcW w:w="6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技术功能要求</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400万星光级枪机网络摄像机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（1）400万星光级1/2.7”CMOS ICR红外阵列筒型网络摄像机;最小照度 0.005Lux @(F1.2,AGC ON) ,0 Lux with IR，快门 1/3秒至1/100,000秒，支持慢快门</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（2）镜头 4-12mm, 水平视场角79°(</w:t>
            </w:r>
            <w:r>
              <w:rPr>
                <w:rFonts w:hint="eastAsia" w:ascii="仿宋" w:hAnsi="仿宋" w:eastAsia="仿宋" w:cs="仿宋"/>
                <w:color w:val="FF0000"/>
                <w:kern w:val="0"/>
                <w:sz w:val="18"/>
                <w:szCs w:val="18"/>
              </w:rPr>
              <w:t>4mm，</w:t>
            </w:r>
            <w:r>
              <w:rPr>
                <w:rFonts w:hint="eastAsia" w:ascii="仿宋" w:hAnsi="仿宋" w:eastAsia="仿宋" w:cs="仿宋"/>
                <w:color w:val="000000"/>
                <w:kern w:val="0"/>
                <w:sz w:val="18"/>
                <w:szCs w:val="18"/>
              </w:rPr>
              <w:t>6mm,8mm,12mm可选)，镜头接口类型 M12，日夜转换模式 ICR红外滤片式</w:t>
            </w:r>
          </w:p>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（3）数字降噪 3D数字降噪，内置麦克风</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（4）宽动态范围 120dB</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（5）视频压缩标准 H.265 /H.264/ MJPEG</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（6）帧率 50Hz: 25fps (2560 × 1440,1920 × 1080 ,1280 × 720)</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（7）感兴趣区域 ROI支持三码流分别设置1个固定区域</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（8）行为分析 越界侦测,区域入侵侦测,进入/离开区域侦测,徘徊侦测,人员聚集侦测,快速运动侦测,停车侦测,物品遗留/拿取侦测，异常侦测 场景变更侦测，虚焦侦测，识别检测，支持人脸侦测</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（9）通讯接口 1个RJ45 10M / 100M 自适应以太网口</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（10）工作温度和湿度 -30℃~60℃,湿度小于95%(无凝结)，电源供应 DC12V±25% / PoE(802.3af)，电源接口类型 圆头电源接口，功耗PoE：8W Max</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（11）红外照射距离最远可达 50米，</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rPr>
              <w:t>（12）防护等级 IP67</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400万星光级半球网络摄像机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（1）400万星光级1/2.7”CMOS ICR红外阵列半球型网络摄像机;最小照度 0.005Lux @(F1.2,AGC ON) ,0 Lux with IR，快门 1/3秒至1/100,000秒，支持慢快门</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（2）镜头2.8-6mm, 水平视场角79°(2.8mm，</w:t>
            </w:r>
            <w:r>
              <w:rPr>
                <w:rFonts w:hint="eastAsia" w:ascii="仿宋" w:hAnsi="仿宋" w:eastAsia="仿宋" w:cs="仿宋"/>
                <w:color w:val="FF0000"/>
                <w:kern w:val="0"/>
                <w:sz w:val="18"/>
                <w:szCs w:val="18"/>
              </w:rPr>
              <w:t>4mm，</w:t>
            </w:r>
            <w:r>
              <w:rPr>
                <w:rFonts w:hint="eastAsia" w:ascii="仿宋" w:hAnsi="仿宋" w:eastAsia="仿宋" w:cs="仿宋"/>
                <w:color w:val="000000"/>
                <w:kern w:val="0"/>
                <w:sz w:val="18"/>
                <w:szCs w:val="18"/>
              </w:rPr>
              <w:t>6mm可选)，镜头接口类型 M12，日夜转换模式 ICR红外滤片式</w:t>
            </w:r>
          </w:p>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（3）数字降噪 3D数字降噪，内置麦克风</w:t>
            </w:r>
          </w:p>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（4）宽动态范围 120dB</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（5）视频压缩标准 H.265 /H.264/ MJPEG</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（6）帧率 50Hz: 25fps (2560 × 1440,1920 × 1080 ,1280 × 720)</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（7）感兴趣区域 ROI支持三码流分别设置1个固定区域</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（8）行为分析 越界侦测,区域入侵侦测,进入/离开区域侦测,徘徊侦测,人员聚集侦测,快速运动侦测,停车侦测,物品遗留/拿取侦测，异常侦测 场景变更侦测，虚焦侦测，识别检测，支持人脸侦测</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（9）通讯接口 1个RJ45 10M / 100M 自适应以太网口</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（10）工作温度和湿度 -30℃~60℃,湿度小于95%(无凝结)，电源供应 DC12V±25% / PoE(802.3af)，电源接口类型 圆头电源接口，功耗PoE：8W Max</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（11）防护等级 IP67</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3</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32路硬盘录像机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（1）可支持最大接入总带宽320Mbps的32路H.265编码、1080p格式的视频图像；</w:t>
            </w:r>
          </w:p>
          <w:p>
            <w:pPr>
              <w:widowControl/>
              <w:spacing w:line="280" w:lineRule="exact"/>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（2）可接入H.265、H.264、MPEG4、SVAC视频编码格式的IPC</w:t>
            </w:r>
          </w:p>
          <w:p>
            <w:pPr>
              <w:widowControl/>
              <w:spacing w:line="280" w:lineRule="exact"/>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（3）支持2组4屏显示输出，每组包含HDMI和VGA各一个，同一组内为同源输出，两组之间可异源输出视频图像，并可分别控制进行预览、回放、配置等操作；支持36/32/25/16/9/8/6/4/1分屏预览.</w:t>
            </w:r>
          </w:p>
          <w:p>
            <w:pPr>
              <w:widowControl/>
              <w:spacing w:line="280" w:lineRule="exact"/>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（4）支持16个SATA接口，1个eSATA接口，可满配10T硬盘；</w:t>
            </w:r>
          </w:p>
          <w:p>
            <w:pPr>
              <w:widowControl/>
              <w:spacing w:line="280" w:lineRule="exact"/>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（5）至少支持2个USB2.0，1个USB3.0接口；</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lang w:bidi="ar"/>
              </w:rPr>
              <w:t>（6）</w:t>
            </w:r>
            <w:r>
              <w:rPr>
                <w:rFonts w:hint="eastAsia" w:ascii="仿宋" w:hAnsi="仿宋" w:eastAsia="仿宋" w:cs="仿宋"/>
                <w:color w:val="000000"/>
                <w:kern w:val="0"/>
                <w:sz w:val="18"/>
                <w:szCs w:val="18"/>
                <w:lang w:bidi="ar"/>
              </w:rPr>
              <w:t>具有存储安全保障功能，当存储压力过高或硬盘出现性能不足时，可优先录像业务存储</w:t>
            </w:r>
          </w:p>
        </w:tc>
      </w:tr>
      <w:tr>
        <w:tblPrEx>
          <w:tblCellMar>
            <w:top w:w="15" w:type="dxa"/>
            <w:left w:w="15" w:type="dxa"/>
            <w:bottom w:w="15" w:type="dxa"/>
            <w:right w:w="15" w:type="dxa"/>
          </w:tblCellMar>
        </w:tblPrEx>
        <w:trPr>
          <w:trHeight w:val="282"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4</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监控级硬盘</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 xml:space="preserve"> 3.5英寸 6TB  </w:t>
            </w:r>
            <w:r>
              <w:rPr>
                <w:rFonts w:hint="eastAsia" w:ascii="仿宋" w:hAnsi="仿宋" w:eastAsia="仿宋" w:cs="仿宋"/>
                <w:color w:val="000000"/>
                <w:kern w:val="0"/>
                <w:sz w:val="18"/>
                <w:szCs w:val="18"/>
                <w:lang w:val="en-US" w:eastAsia="zh-CN" w:bidi="ar"/>
              </w:rPr>
              <w:t>128</w:t>
            </w:r>
            <w:r>
              <w:rPr>
                <w:rFonts w:hint="eastAsia" w:ascii="仿宋" w:hAnsi="仿宋" w:eastAsia="仿宋" w:cs="仿宋"/>
                <w:color w:val="000000"/>
                <w:kern w:val="0"/>
                <w:sz w:val="18"/>
                <w:szCs w:val="18"/>
                <w:lang w:bidi="ar"/>
              </w:rPr>
              <w:t>M SATA</w:t>
            </w:r>
            <w:r>
              <w:rPr>
                <w:rFonts w:hint="eastAsia" w:ascii="仿宋" w:hAnsi="仿宋" w:eastAsia="仿宋" w:cs="仿宋"/>
                <w:color w:val="000000"/>
                <w:kern w:val="0"/>
                <w:sz w:val="18"/>
                <w:szCs w:val="18"/>
                <w:lang w:val="en-US" w:eastAsia="zh-CN" w:bidi="ar"/>
              </w:rPr>
              <w:t>3 6GB /S</w:t>
            </w:r>
          </w:p>
        </w:tc>
      </w:tr>
      <w:tr>
        <w:tblPrEx>
          <w:tblCellMar>
            <w:top w:w="15" w:type="dxa"/>
            <w:left w:w="15" w:type="dxa"/>
            <w:bottom w:w="15" w:type="dxa"/>
            <w:right w:w="15" w:type="dxa"/>
          </w:tblCellMar>
        </w:tblPrEx>
        <w:trPr>
          <w:trHeight w:val="1963"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5</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电视机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）屏幕比例</w:t>
            </w:r>
            <w:r>
              <w:rPr>
                <w:rFonts w:hint="eastAsia" w:ascii="仿宋" w:hAnsi="仿宋" w:eastAsia="仿宋" w:cs="仿宋"/>
                <w:color w:val="000000"/>
                <w:kern w:val="0"/>
                <w:sz w:val="18"/>
                <w:szCs w:val="18"/>
                <w:lang w:val="en-US" w:eastAsia="zh-CN" w:bidi="ar"/>
              </w:rPr>
              <w:t>16:9</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eastAsia="zh-CN" w:bidi="ar"/>
              </w:rPr>
              <w:t>）分辨率</w:t>
            </w:r>
            <w:r>
              <w:rPr>
                <w:rFonts w:hint="eastAsia" w:ascii="仿宋" w:hAnsi="仿宋" w:eastAsia="仿宋" w:cs="仿宋"/>
                <w:color w:val="000000"/>
                <w:kern w:val="0"/>
                <w:sz w:val="18"/>
                <w:szCs w:val="18"/>
                <w:lang w:val="en-US" w:eastAsia="zh-CN" w:bidi="ar"/>
              </w:rPr>
              <w:t>4K</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（3）接口类型AV HDMI RF射频借口 LAN端子 USB</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（4）刷屏率</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120HZ</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（5）视频格式2160P</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（6）存储容量</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2BG+32GB</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（7）主机尺寸</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55英寸</w:t>
            </w:r>
          </w:p>
        </w:tc>
      </w:tr>
      <w:tr>
        <w:tblPrEx>
          <w:tblCellMar>
            <w:top w:w="15" w:type="dxa"/>
            <w:left w:w="15" w:type="dxa"/>
            <w:bottom w:w="15" w:type="dxa"/>
            <w:right w:w="15" w:type="dxa"/>
          </w:tblCellMar>
        </w:tblPrEx>
        <w:trPr>
          <w:trHeight w:val="324"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6</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HDMI高清数据线</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2.1版8K高清</w:t>
            </w:r>
          </w:p>
        </w:tc>
      </w:tr>
      <w:tr>
        <w:tblPrEx>
          <w:tblCellMar>
            <w:top w:w="15" w:type="dxa"/>
            <w:left w:w="15" w:type="dxa"/>
            <w:bottom w:w="15" w:type="dxa"/>
            <w:right w:w="15" w:type="dxa"/>
          </w:tblCellMar>
        </w:tblPrEx>
        <w:trPr>
          <w:trHeight w:val="1649"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7</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24口千兆管理交换机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（1）24个千兆电口</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xml:space="preserve">（2）轻网管千兆交换机 </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（3）互联APP/PC端管理, 支持端口的速率，流控配置，端口使能配置</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xml:space="preserve">（4）汇聚核心|钢壳    </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（5）交换容量：48 Gbps，包转发率：35.712 Mpps</w:t>
            </w:r>
          </w:p>
        </w:tc>
      </w:tr>
      <w:tr>
        <w:tblPrEx>
          <w:tblCellMar>
            <w:top w:w="15" w:type="dxa"/>
            <w:left w:w="15" w:type="dxa"/>
            <w:bottom w:w="15" w:type="dxa"/>
            <w:right w:w="15" w:type="dxa"/>
          </w:tblCellMar>
        </w:tblPrEx>
        <w:trPr>
          <w:trHeight w:val="1368"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8</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5口百兆POE交换机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（1）交换容量≥1Gbps；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r>
              <w:rPr>
                <w:rFonts w:hint="eastAsia" w:ascii="仿宋" w:hAnsi="仿宋" w:eastAsia="仿宋" w:cs="仿宋"/>
                <w:color w:val="000000"/>
                <w:kern w:val="0"/>
                <w:sz w:val="18"/>
                <w:szCs w:val="18"/>
                <w:lang w:val="en-US" w:eastAsia="zh-CN" w:bidi="ar"/>
              </w:rPr>
              <w:t>4个百兆POE电口，1个百兆电口</w:t>
            </w:r>
            <w:r>
              <w:rPr>
                <w:rFonts w:hint="eastAsia" w:ascii="仿宋" w:hAnsi="仿宋" w:eastAsia="仿宋" w:cs="仿宋"/>
                <w:color w:val="000000"/>
                <w:kern w:val="0"/>
                <w:sz w:val="18"/>
                <w:szCs w:val="18"/>
                <w:lang w:bidi="ar"/>
              </w:rPr>
              <w:t xml:space="preserve">；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（3）MAC地址</w:t>
            </w:r>
            <w:r>
              <w:rPr>
                <w:rFonts w:hint="eastAsia" w:ascii="仿宋" w:hAnsi="仿宋" w:eastAsia="仿宋" w:cs="仿宋"/>
                <w:color w:val="000000"/>
                <w:kern w:val="0"/>
                <w:sz w:val="18"/>
                <w:szCs w:val="18"/>
                <w:lang w:eastAsia="zh-CN" w:bidi="ar"/>
              </w:rPr>
              <w:t>表</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bidi="ar"/>
              </w:rPr>
              <w:t xml:space="preserve">K；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（4）交换方式：存储转发；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（5）支持IEEE 802.3、IEEE 802.3u、IEEE 802.3x                     </w:t>
            </w:r>
          </w:p>
        </w:tc>
      </w:tr>
      <w:tr>
        <w:tblPrEx>
          <w:tblCellMar>
            <w:top w:w="15" w:type="dxa"/>
            <w:left w:w="15" w:type="dxa"/>
            <w:bottom w:w="15" w:type="dxa"/>
            <w:right w:w="15" w:type="dxa"/>
          </w:tblCellMar>
        </w:tblPrEx>
        <w:trPr>
          <w:trHeight w:val="1098"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9</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9口百兆POE交换机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（1）交换容量≥</w:t>
            </w:r>
            <w:r>
              <w:rPr>
                <w:rFonts w:hint="eastAsia" w:ascii="仿宋" w:hAnsi="仿宋" w:eastAsia="仿宋" w:cs="仿宋"/>
                <w:color w:val="000000"/>
                <w:kern w:val="0"/>
                <w:sz w:val="18"/>
                <w:szCs w:val="18"/>
                <w:lang w:val="en-US" w:eastAsia="zh-CN" w:bidi="ar"/>
              </w:rPr>
              <w:t>1.8</w:t>
            </w:r>
            <w:r>
              <w:rPr>
                <w:rFonts w:hint="eastAsia" w:ascii="仿宋" w:hAnsi="仿宋" w:eastAsia="仿宋" w:cs="仿宋"/>
                <w:color w:val="000000"/>
                <w:kern w:val="0"/>
                <w:sz w:val="18"/>
                <w:szCs w:val="18"/>
                <w:lang w:bidi="ar"/>
              </w:rPr>
              <w:t xml:space="preserve">Gbps；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r>
              <w:rPr>
                <w:rFonts w:hint="eastAsia" w:ascii="仿宋" w:hAnsi="仿宋" w:eastAsia="仿宋" w:cs="仿宋"/>
                <w:color w:val="000000"/>
                <w:kern w:val="0"/>
                <w:sz w:val="18"/>
                <w:szCs w:val="18"/>
                <w:lang w:val="en-US" w:eastAsia="zh-CN" w:bidi="ar"/>
              </w:rPr>
              <w:t>8个百兆POE电口，1个百兆电口</w:t>
            </w:r>
            <w:r>
              <w:rPr>
                <w:rFonts w:hint="eastAsia" w:ascii="仿宋" w:hAnsi="仿宋" w:eastAsia="仿宋" w:cs="仿宋"/>
                <w:color w:val="000000"/>
                <w:kern w:val="0"/>
                <w:sz w:val="18"/>
                <w:szCs w:val="18"/>
                <w:lang w:bidi="ar"/>
              </w:rPr>
              <w:t xml:space="preserve">；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（3）MAC地址</w:t>
            </w:r>
            <w:r>
              <w:rPr>
                <w:rFonts w:hint="eastAsia" w:ascii="仿宋" w:hAnsi="仿宋" w:eastAsia="仿宋" w:cs="仿宋"/>
                <w:color w:val="000000"/>
                <w:kern w:val="0"/>
                <w:sz w:val="18"/>
                <w:szCs w:val="18"/>
                <w:lang w:eastAsia="zh-CN" w:bidi="ar"/>
              </w:rPr>
              <w:t>表</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bidi="ar"/>
              </w:rPr>
              <w:t xml:space="preserve">K；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4</w:t>
            </w:r>
            <w:r>
              <w:rPr>
                <w:rFonts w:hint="eastAsia" w:ascii="仿宋" w:hAnsi="仿宋" w:eastAsia="仿宋" w:cs="仿宋"/>
                <w:color w:val="000000"/>
                <w:kern w:val="0"/>
                <w:sz w:val="18"/>
                <w:szCs w:val="18"/>
                <w:lang w:bidi="ar"/>
              </w:rPr>
              <w:t xml:space="preserve">）支持IEEE 802.3、IEEE 802.3u、IEEE 802.3x                        </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10</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10口千兆POE交换机</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（1）交换容量≥20Gbps；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r>
              <w:rPr>
                <w:rFonts w:hint="eastAsia" w:ascii="仿宋" w:hAnsi="仿宋" w:eastAsia="仿宋" w:cs="仿宋"/>
                <w:color w:val="000000"/>
                <w:kern w:val="0"/>
                <w:sz w:val="18"/>
                <w:szCs w:val="18"/>
                <w:lang w:val="en-US" w:eastAsia="zh-CN" w:bidi="ar"/>
              </w:rPr>
              <w:t>8个千兆POE电口，1个千兆电口，1个千兆光口</w:t>
            </w:r>
            <w:r>
              <w:rPr>
                <w:rFonts w:hint="eastAsia" w:ascii="仿宋" w:hAnsi="仿宋" w:eastAsia="仿宋" w:cs="仿宋"/>
                <w:color w:val="000000"/>
                <w:kern w:val="0"/>
                <w:sz w:val="18"/>
                <w:szCs w:val="18"/>
                <w:lang w:bidi="ar"/>
              </w:rPr>
              <w:t xml:space="preserve">；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（3）MAC地址</w:t>
            </w:r>
            <w:r>
              <w:rPr>
                <w:rFonts w:hint="eastAsia" w:ascii="仿宋" w:hAnsi="仿宋" w:eastAsia="仿宋" w:cs="仿宋"/>
                <w:color w:val="000000"/>
                <w:kern w:val="0"/>
                <w:sz w:val="18"/>
                <w:szCs w:val="18"/>
                <w:lang w:eastAsia="zh-CN" w:bidi="ar"/>
              </w:rPr>
              <w:t>表</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4</w:t>
            </w:r>
            <w:r>
              <w:rPr>
                <w:rFonts w:hint="eastAsia" w:ascii="仿宋" w:hAnsi="仿宋" w:eastAsia="仿宋" w:cs="仿宋"/>
                <w:color w:val="000000"/>
                <w:kern w:val="0"/>
                <w:sz w:val="18"/>
                <w:szCs w:val="18"/>
                <w:lang w:bidi="ar"/>
              </w:rPr>
              <w:t xml:space="preserve">K；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（4）交换方式：存储转发；    </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5</w:t>
            </w:r>
            <w:r>
              <w:rPr>
                <w:rFonts w:hint="eastAsia" w:ascii="仿宋" w:hAnsi="仿宋" w:eastAsia="仿宋" w:cs="仿宋"/>
                <w:color w:val="000000"/>
                <w:kern w:val="0"/>
                <w:sz w:val="18"/>
                <w:szCs w:val="18"/>
                <w:lang w:bidi="ar"/>
              </w:rPr>
              <w:t xml:space="preserve">）支持IEEE 802.3、IEEE 802.3u、IEEE 802.3x                          </w:t>
            </w:r>
          </w:p>
        </w:tc>
      </w:tr>
      <w:tr>
        <w:tblPrEx>
          <w:tblCellMar>
            <w:top w:w="15" w:type="dxa"/>
            <w:left w:w="15" w:type="dxa"/>
            <w:bottom w:w="15" w:type="dxa"/>
            <w:right w:w="15" w:type="dxa"/>
          </w:tblCellMar>
        </w:tblPrEx>
        <w:trPr>
          <w:trHeight w:val="346"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11</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1光4电光纤收发器</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1光</w:t>
            </w:r>
            <w:r>
              <w:rPr>
                <w:rFonts w:hint="eastAsia" w:ascii="仿宋" w:hAnsi="仿宋" w:eastAsia="仿宋" w:cs="仿宋"/>
                <w:color w:val="000000"/>
                <w:kern w:val="0"/>
                <w:sz w:val="18"/>
                <w:szCs w:val="18"/>
                <w:lang w:val="en-US" w:eastAsia="zh-CN" w:bidi="ar"/>
              </w:rPr>
              <w:t>4</w:t>
            </w:r>
            <w:r>
              <w:rPr>
                <w:rFonts w:hint="eastAsia" w:ascii="仿宋" w:hAnsi="仿宋" w:eastAsia="仿宋" w:cs="仿宋"/>
                <w:color w:val="000000"/>
                <w:kern w:val="0"/>
                <w:sz w:val="18"/>
                <w:szCs w:val="18"/>
                <w:lang w:bidi="ar"/>
              </w:rPr>
              <w:t>电工业级</w:t>
            </w:r>
            <w:r>
              <w:rPr>
                <w:rFonts w:hint="eastAsia" w:ascii="仿宋" w:hAnsi="仿宋" w:eastAsia="仿宋" w:cs="仿宋"/>
                <w:color w:val="000000"/>
                <w:kern w:val="0"/>
                <w:sz w:val="18"/>
                <w:szCs w:val="18"/>
                <w:lang w:eastAsia="zh-CN" w:bidi="ar"/>
              </w:rPr>
              <w:t>千</w:t>
            </w:r>
            <w:r>
              <w:rPr>
                <w:rFonts w:hint="eastAsia" w:ascii="仿宋" w:hAnsi="仿宋" w:eastAsia="仿宋" w:cs="仿宋"/>
                <w:color w:val="000000"/>
                <w:kern w:val="0"/>
                <w:sz w:val="18"/>
                <w:szCs w:val="18"/>
                <w:lang w:bidi="ar"/>
              </w:rPr>
              <w:t>兆光纤收发器，单膜，国标</w:t>
            </w:r>
          </w:p>
        </w:tc>
      </w:tr>
      <w:tr>
        <w:tblPrEx>
          <w:tblCellMar>
            <w:top w:w="15" w:type="dxa"/>
            <w:left w:w="15" w:type="dxa"/>
            <w:bottom w:w="15" w:type="dxa"/>
            <w:right w:w="15" w:type="dxa"/>
          </w:tblCellMar>
        </w:tblPrEx>
        <w:trPr>
          <w:trHeight w:val="338"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12</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1光1电光纤收发器</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1光</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bidi="ar"/>
              </w:rPr>
              <w:t>电工业级</w:t>
            </w:r>
            <w:r>
              <w:rPr>
                <w:rFonts w:hint="eastAsia" w:ascii="仿宋" w:hAnsi="仿宋" w:eastAsia="仿宋" w:cs="仿宋"/>
                <w:color w:val="000000"/>
                <w:kern w:val="0"/>
                <w:sz w:val="18"/>
                <w:szCs w:val="18"/>
                <w:lang w:eastAsia="zh-CN" w:bidi="ar"/>
              </w:rPr>
              <w:t>千</w:t>
            </w:r>
            <w:r>
              <w:rPr>
                <w:rFonts w:hint="eastAsia" w:ascii="仿宋" w:hAnsi="仿宋" w:eastAsia="仿宋" w:cs="仿宋"/>
                <w:color w:val="000000"/>
                <w:kern w:val="0"/>
                <w:sz w:val="18"/>
                <w:szCs w:val="18"/>
                <w:lang w:bidi="ar"/>
              </w:rPr>
              <w:t>兆光纤收发器，单膜，国标</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13</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小号防水铁箱</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规格300mm宽*400mm高*</w:t>
            </w:r>
            <w:r>
              <w:rPr>
                <w:rFonts w:hint="eastAsia" w:ascii="仿宋" w:hAnsi="仿宋" w:eastAsia="仿宋" w:cs="仿宋"/>
                <w:color w:val="000000"/>
                <w:kern w:val="0"/>
                <w:sz w:val="18"/>
                <w:szCs w:val="18"/>
                <w:lang w:val="en-US" w:eastAsia="zh-CN" w:bidi="ar"/>
              </w:rPr>
              <w:t>20</w:t>
            </w:r>
            <w:r>
              <w:rPr>
                <w:rFonts w:hint="eastAsia" w:ascii="仿宋" w:hAnsi="仿宋" w:eastAsia="仿宋" w:cs="仿宋"/>
                <w:color w:val="000000"/>
                <w:kern w:val="0"/>
                <w:sz w:val="18"/>
                <w:szCs w:val="18"/>
                <w:lang w:bidi="ar"/>
              </w:rPr>
              <w:t>0mm深，室外安装，白色，与学校其他铁箱颜色统一。</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（2）配电箱箱体、箱门、背板钢板（铁板）厚度不小于1.0mm。                                                                                                       （3）装立杆采用抱箍安装，装墙面采用膨胀螺丝安装。</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（4）箱体顶部有挡雨板，侧面有通风口。</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（5）进出线开孔或敲落孔应有相应的密封附件，在进出线装配完毕后能保证达到三级密封要求，箱门开启角度不小于90°。</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 xml:space="preserve">（6）门锁采用不锈钢暗锁，门锁应牢固可靠，在锁上后不应有明显的晃动。 </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（7）配</w:t>
            </w:r>
            <w:r>
              <w:rPr>
                <w:rFonts w:hint="eastAsia" w:ascii="仿宋" w:hAnsi="仿宋" w:eastAsia="仿宋" w:cs="仿宋"/>
                <w:color w:val="000000"/>
                <w:kern w:val="0"/>
                <w:sz w:val="18"/>
                <w:szCs w:val="18"/>
                <w:lang w:bidi="ar"/>
              </w:rPr>
              <w:t>数模化插座</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10A,2孔（或3孔），每个插头使用1个插座，含导轨，导轨可供装4—7个插座,2孔或3孔数量根据插头情况调整。</w:t>
            </w:r>
          </w:p>
        </w:tc>
      </w:tr>
      <w:tr>
        <w:tblPrEx>
          <w:tblCellMar>
            <w:top w:w="15" w:type="dxa"/>
            <w:left w:w="15" w:type="dxa"/>
            <w:bottom w:w="15" w:type="dxa"/>
            <w:right w:w="15" w:type="dxa"/>
          </w:tblCellMar>
        </w:tblPrEx>
        <w:trPr>
          <w:trHeight w:val="74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14</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中号防水铁箱</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规格</w:t>
            </w:r>
            <w:r>
              <w:rPr>
                <w:rFonts w:hint="eastAsia" w:ascii="仿宋" w:hAnsi="仿宋" w:eastAsia="仿宋" w:cs="仿宋"/>
                <w:color w:val="000000"/>
                <w:kern w:val="0"/>
                <w:sz w:val="18"/>
                <w:szCs w:val="18"/>
                <w:lang w:val="en-US" w:eastAsia="zh-CN" w:bidi="ar"/>
              </w:rPr>
              <w:t>4</w:t>
            </w:r>
            <w:r>
              <w:rPr>
                <w:rFonts w:hint="eastAsia" w:ascii="仿宋" w:hAnsi="仿宋" w:eastAsia="仿宋" w:cs="仿宋"/>
                <w:color w:val="000000"/>
                <w:kern w:val="0"/>
                <w:sz w:val="18"/>
                <w:szCs w:val="18"/>
                <w:lang w:bidi="ar"/>
              </w:rPr>
              <w:t>00mm宽*</w:t>
            </w:r>
            <w:r>
              <w:rPr>
                <w:rFonts w:hint="eastAsia" w:ascii="仿宋" w:hAnsi="仿宋" w:eastAsia="仿宋" w:cs="仿宋"/>
                <w:color w:val="000000"/>
                <w:kern w:val="0"/>
                <w:sz w:val="18"/>
                <w:szCs w:val="18"/>
                <w:lang w:val="en-US" w:eastAsia="zh-CN" w:bidi="ar"/>
              </w:rPr>
              <w:t>5</w:t>
            </w:r>
            <w:r>
              <w:rPr>
                <w:rFonts w:hint="eastAsia" w:ascii="仿宋" w:hAnsi="仿宋" w:eastAsia="仿宋" w:cs="仿宋"/>
                <w:color w:val="000000"/>
                <w:kern w:val="0"/>
                <w:sz w:val="18"/>
                <w:szCs w:val="18"/>
                <w:lang w:bidi="ar"/>
              </w:rPr>
              <w:t>00mm高*2</w:t>
            </w:r>
            <w:r>
              <w:rPr>
                <w:rFonts w:hint="eastAsia" w:ascii="仿宋" w:hAnsi="仿宋" w:eastAsia="仿宋" w:cs="仿宋"/>
                <w:color w:val="000000"/>
                <w:kern w:val="0"/>
                <w:sz w:val="18"/>
                <w:szCs w:val="18"/>
                <w:lang w:val="en-US" w:eastAsia="zh-CN" w:bidi="ar"/>
              </w:rPr>
              <w:t>5</w:t>
            </w:r>
            <w:r>
              <w:rPr>
                <w:rFonts w:hint="eastAsia" w:ascii="仿宋" w:hAnsi="仿宋" w:eastAsia="仿宋" w:cs="仿宋"/>
                <w:color w:val="000000"/>
                <w:kern w:val="0"/>
                <w:sz w:val="18"/>
                <w:szCs w:val="18"/>
                <w:lang w:bidi="ar"/>
              </w:rPr>
              <w:t>0mm深，白色，与学校其他铁箱颜色统一。</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（2）配电箱箱体、箱门、背板钢板（铁板）厚度不小于1.2mm。                                                                                                       （3）装立杆采用抱箍安装，装墙面采用膨胀螺丝安装。</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（4）安装在室外的箱体顶部有挡雨板。</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（5）进出线开孔或敲落孔应有相应的密封附件，在进出线装配完毕后能保证达到三级密封要求，箱门开启角度不小于90°。</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（6）门锁采用不锈钢暗锁，钥匙开所有锁，门锁应牢固可靠，在锁上后不应有明显的晃动。</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（7）配</w:t>
            </w:r>
            <w:r>
              <w:rPr>
                <w:rFonts w:hint="eastAsia" w:ascii="仿宋" w:hAnsi="仿宋" w:eastAsia="仿宋" w:cs="仿宋"/>
                <w:color w:val="000000"/>
                <w:kern w:val="0"/>
                <w:sz w:val="18"/>
                <w:szCs w:val="18"/>
                <w:lang w:bidi="ar"/>
              </w:rPr>
              <w:t>数模化插座</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10A,2孔（或3孔），每个插头使用1个插座，含导轨，导轨可供装4—7个插座,2孔或3孔数量根据插头情况调整。</w:t>
            </w:r>
          </w:p>
        </w:tc>
      </w:tr>
      <w:tr>
        <w:tblPrEx>
          <w:tblCellMar>
            <w:top w:w="15" w:type="dxa"/>
            <w:left w:w="15" w:type="dxa"/>
            <w:bottom w:w="15" w:type="dxa"/>
            <w:right w:w="15" w:type="dxa"/>
          </w:tblCellMar>
        </w:tblPrEx>
        <w:trPr>
          <w:trHeight w:val="572"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15</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宋体" w:hAnsi="宋体" w:eastAsia="宋体" w:cs="宋体"/>
                <w:i w:val="0"/>
                <w:iCs w:val="0"/>
                <w:color w:val="000000"/>
                <w:kern w:val="0"/>
                <w:sz w:val="20"/>
                <w:szCs w:val="20"/>
                <w:u w:val="none"/>
                <w:lang w:val="en-US" w:eastAsia="zh-CN" w:bidi="ar"/>
              </w:rPr>
              <w:t>12U机柜</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eastAsia="zh-CN" w:bidi="ar"/>
              </w:rPr>
            </w:pPr>
            <w:r>
              <w:rPr>
                <w:rFonts w:hint="eastAsia" w:ascii="宋体" w:hAnsi="宋体" w:eastAsia="宋体" w:cs="宋体"/>
                <w:i w:val="0"/>
                <w:iCs w:val="0"/>
                <w:color w:val="000000"/>
                <w:kern w:val="0"/>
                <w:sz w:val="20"/>
                <w:szCs w:val="20"/>
                <w:u w:val="none"/>
                <w:lang w:val="en-US" w:eastAsia="zh-CN" w:bidi="ar"/>
              </w:rPr>
              <w:t>400*550*600</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16</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监控立杆</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安装高度距地面3米，横臂根据实际需要的长度定制，立杆管上下直径：140±5mm，厚3mm，横臂直径75mm，厚2mm。</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（2）构件全部采用A3钢。杆件要求整体成形。</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（3）焊条采用T42。</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（4）所有钢构件都进行热镀锌防腐处理，紧固件表面：350/m2,其它为：600g/m。</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（5）所有各焊处必须满焊、牢固、不得虚焊，表面烤漆。</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（6）混凝土采用C20，基础规格不低于600*600*800（mm），具体规格视路口情形定，地笼400*M18*4。</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（7）每套臂应有一根2.5m热镀锌接地棒，采用16mm2裸铜线和杆件连接，接地电阻为﹤10Ω，及10级抗风能力。</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8</w:t>
            </w:r>
            <w:r>
              <w:rPr>
                <w:rFonts w:hint="eastAsia" w:ascii="仿宋" w:hAnsi="仿宋" w:eastAsia="仿宋" w:cs="仿宋"/>
                <w:color w:val="000000"/>
                <w:kern w:val="0"/>
                <w:sz w:val="18"/>
                <w:szCs w:val="18"/>
                <w:lang w:eastAsia="zh-CN" w:bidi="ar"/>
              </w:rPr>
              <w:t>）支架</w:t>
            </w:r>
            <w:r>
              <w:rPr>
                <w:rFonts w:hint="eastAsia" w:ascii="仿宋" w:hAnsi="仿宋" w:eastAsia="仿宋" w:cs="仿宋"/>
                <w:color w:val="000000"/>
                <w:kern w:val="0"/>
                <w:sz w:val="18"/>
                <w:szCs w:val="18"/>
                <w:lang w:bidi="ar"/>
              </w:rPr>
              <w:t>定做，</w:t>
            </w:r>
            <w:r>
              <w:rPr>
                <w:rFonts w:hint="eastAsia" w:ascii="仿宋" w:hAnsi="仿宋" w:eastAsia="仿宋" w:cs="仿宋"/>
                <w:color w:val="000000"/>
                <w:kern w:val="0"/>
                <w:sz w:val="18"/>
                <w:szCs w:val="18"/>
                <w:lang w:val="en-US" w:eastAsia="zh-CN" w:bidi="ar"/>
              </w:rPr>
              <w:t>3根，</w:t>
            </w:r>
            <w:r>
              <w:rPr>
                <w:rFonts w:hint="eastAsia" w:ascii="仿宋" w:hAnsi="仿宋" w:eastAsia="仿宋" w:cs="仿宋"/>
                <w:color w:val="000000"/>
                <w:kern w:val="0"/>
                <w:sz w:val="18"/>
                <w:szCs w:val="18"/>
                <w:lang w:bidi="ar"/>
              </w:rPr>
              <w:t>热镀锌，横臂直径60mm(安装在新小立杆的横臂直径75mm），厚2mm，按实际要求的长度（50cm—150cm）定制。</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17</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超5类网线</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超五类，传输速率： 100Mbps，直径≥0.5mm，国标，无氧纯铜</w:t>
            </w:r>
          </w:p>
        </w:tc>
      </w:tr>
      <w:tr>
        <w:tblPrEx>
          <w:tblCellMar>
            <w:top w:w="15" w:type="dxa"/>
            <w:left w:w="15" w:type="dxa"/>
            <w:bottom w:w="15" w:type="dxa"/>
            <w:right w:w="15" w:type="dxa"/>
          </w:tblCellMar>
        </w:tblPrEx>
        <w:trPr>
          <w:trHeight w:val="26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19</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光纤</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12芯，单膜，电信级，</w:t>
            </w:r>
            <w:r>
              <w:rPr>
                <w:rFonts w:hint="eastAsia" w:ascii="仿宋" w:hAnsi="仿宋" w:eastAsia="仿宋" w:cs="仿宋"/>
                <w:color w:val="000000"/>
                <w:kern w:val="0"/>
                <w:sz w:val="18"/>
                <w:szCs w:val="18"/>
                <w:lang w:val="en-US" w:eastAsia="zh-CN" w:bidi="ar"/>
              </w:rPr>
              <w:t>铠装室外国标光纤</w:t>
            </w:r>
          </w:p>
        </w:tc>
      </w:tr>
      <w:tr>
        <w:tblPrEx>
          <w:tblCellMar>
            <w:top w:w="15" w:type="dxa"/>
            <w:left w:w="15" w:type="dxa"/>
            <w:bottom w:w="15" w:type="dxa"/>
            <w:right w:w="15" w:type="dxa"/>
          </w:tblCellMar>
        </w:tblPrEx>
        <w:trPr>
          <w:trHeight w:val="24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19</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护套线</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防水电源线，RVV</w:t>
            </w:r>
            <w:r>
              <w:rPr>
                <w:rFonts w:hint="eastAsia"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bidi="ar"/>
              </w:rPr>
              <w:t>X1.5，无氧纯铜，国标</w:t>
            </w:r>
          </w:p>
        </w:tc>
      </w:tr>
      <w:tr>
        <w:tblPrEx>
          <w:tblCellMar>
            <w:top w:w="15" w:type="dxa"/>
            <w:left w:w="15" w:type="dxa"/>
            <w:bottom w:w="15" w:type="dxa"/>
            <w:right w:w="15" w:type="dxa"/>
          </w:tblCellMar>
        </w:tblPrEx>
        <w:trPr>
          <w:trHeight w:val="266"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20</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线管、线槽</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刚性阻燃管，规格:PVC25，国标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21</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熔接盒</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铁质，厚度1mm，镀锌</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22</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跳纤</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单膜，电信级，国标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23</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尾纤</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单膜，电信级，国标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24</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耦合器</w:t>
            </w:r>
          </w:p>
        </w:tc>
        <w:tc>
          <w:tcPr>
            <w:tcW w:w="6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陶瓷，国标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25</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摄像机电源</w:t>
            </w:r>
          </w:p>
        </w:tc>
        <w:tc>
          <w:tcPr>
            <w:tcW w:w="6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12V2A,，含防水盒</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26</w:t>
            </w:r>
          </w:p>
        </w:tc>
        <w:tc>
          <w:tcPr>
            <w:tcW w:w="16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标准枪机支架</w:t>
            </w:r>
          </w:p>
        </w:tc>
        <w:tc>
          <w:tcPr>
            <w:tcW w:w="66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铝质，白色</w:t>
            </w:r>
          </w:p>
        </w:tc>
      </w:tr>
    </w:tbl>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2891" w:firstLineChars="1200"/>
        <w:textAlignment w:val="auto"/>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 xml:space="preserve"> 第三节 商务要求</w:t>
      </w:r>
    </w:p>
    <w:p>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sz w:val="24"/>
          <w:szCs w:val="24"/>
          <w:lang w:eastAsia="zh-CN"/>
        </w:rPr>
        <w:t>一、项目说明及要求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szCs w:val="24"/>
        </w:rPr>
        <w:t>本项目为交钥匙工程，本</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所发生的一切费用</w:t>
      </w:r>
      <w:r>
        <w:rPr>
          <w:rFonts w:hint="eastAsia" w:ascii="仿宋" w:hAnsi="仿宋" w:eastAsia="仿宋" w:cs="仿宋"/>
          <w:color w:val="auto"/>
          <w:sz w:val="24"/>
          <w:szCs w:val="24"/>
          <w:lang w:eastAsia="zh-CN"/>
        </w:rPr>
        <w:t>，包括</w:t>
      </w:r>
      <w:r>
        <w:rPr>
          <w:rFonts w:hint="eastAsia" w:ascii="仿宋" w:hAnsi="仿宋" w:eastAsia="仿宋" w:cs="仿宋"/>
          <w:color w:val="auto"/>
          <w:kern w:val="2"/>
          <w:sz w:val="24"/>
          <w:szCs w:val="24"/>
          <w:lang w:val="en-US" w:eastAsia="zh-CN" w:bidi="ar-SA"/>
        </w:rPr>
        <w:t>创新创业学院原18个监控汇聚点改迁至实训大楼副楼101的费用，</w:t>
      </w:r>
      <w:r>
        <w:rPr>
          <w:rFonts w:hint="eastAsia" w:ascii="仿宋" w:hAnsi="仿宋" w:eastAsia="仿宋" w:cs="仿宋"/>
          <w:color w:val="auto"/>
          <w:sz w:val="24"/>
          <w:szCs w:val="24"/>
        </w:rPr>
        <w:t>均包含在总报价中</w:t>
      </w:r>
      <w:r>
        <w:rPr>
          <w:rFonts w:hint="eastAsia" w:ascii="仿宋" w:hAnsi="仿宋" w:eastAsia="仿宋" w:cs="仿宋"/>
          <w:color w:val="auto"/>
          <w:sz w:val="24"/>
          <w:szCs w:val="24"/>
          <w:lang w:eastAsia="zh-CN"/>
        </w:rPr>
        <w:t>，</w:t>
      </w:r>
      <w:r>
        <w:rPr>
          <w:rFonts w:hint="eastAsia" w:ascii="仿宋" w:hAnsi="仿宋" w:eastAsia="仿宋" w:cs="仿宋"/>
          <w:color w:val="auto"/>
          <w:kern w:val="2"/>
          <w:sz w:val="24"/>
          <w:szCs w:val="24"/>
          <w:lang w:val="en-US" w:eastAsia="zh-CN" w:bidi="ar-SA"/>
        </w:rPr>
        <w:t>不另行计算费用。</w:t>
      </w:r>
      <w:r>
        <w:rPr>
          <w:rFonts w:hint="eastAsia" w:ascii="仿宋" w:hAnsi="仿宋" w:eastAsia="仿宋" w:cs="仿宋"/>
          <w:color w:val="auto"/>
          <w:sz w:val="24"/>
          <w:szCs w:val="24"/>
        </w:rPr>
        <w:t>项目直至验收合格，采购人除支付中标金额外，将不再支付任何其它费用。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2.实训大楼分为主副三栋楼，需要新增32个监控点，监控中心设副楼101，枪机和半球的数量根据地形可调整，不增减费用。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线路过墙不得直接使用冲击钻开孔，需使用专业开孔工具；路面开槽需先用切割机切割整齐再使用冲击钻；超过2米的开沟需使用50MM镀锌管；开沟回填需恢复原貌，做好路面保养；水泥地面开沟最低深度15CM；花坛、草地开沟要靠边布线，线管要低于土面20CM，恢复花坛、原貌，如造成损失，承担全部赔偿责任；线管经过人行道时，需恢复地砖原貌；套管不能裸露在地面、台阶上，需开沟，部分地方需使用25MM或50MM铁管；外墙上的套管使用抱扣钉加固，抱扣钉需使用木塞，不得使用胶塞；线管需使用直头、弯头连接，并用PVC胶水粘牢固、密封不漏水，铁管需使用直头、弯头丝口连接，墙面部分尽量避免使用软管；室外部分使用圆管，室内部分尽量使用线槽，线管线槽安装要横平竖直，按指定位置走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摄像机使用枪机或半球根据实际情况可调整，摄像机镜头大小根据实际情况调整，调整的品牌、参数与投标的品牌、参数一致，不增补任何费用。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 xml:space="preserve">取电采取就近原则，路灯不能作为电源接驳点，电源接驳点须做好防水等安全措施。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普通网线不得进入下水管道或掩埋，特殊情况经同意后更换为防水网线进入下水管道或掩埋，费用不予增减；原则上强电线不得进入下水管道，特殊情况，强电线进入下水管道需批准同意，并按要求走线；网线</w:t>
      </w:r>
      <w:r>
        <w:rPr>
          <w:rFonts w:hint="eastAsia" w:ascii="仿宋" w:hAnsi="仿宋" w:eastAsia="仿宋" w:cs="仿宋"/>
          <w:color w:val="auto"/>
          <w:sz w:val="24"/>
          <w:szCs w:val="24"/>
          <w:lang w:eastAsia="zh-CN"/>
        </w:rPr>
        <w:t>、光纤</w:t>
      </w:r>
      <w:r>
        <w:rPr>
          <w:rFonts w:hint="eastAsia" w:ascii="仿宋" w:hAnsi="仿宋" w:eastAsia="仿宋" w:cs="仿宋"/>
          <w:color w:val="auto"/>
          <w:sz w:val="24"/>
          <w:szCs w:val="24"/>
        </w:rPr>
        <w:t>和电源线必须全部套管，强、弱电线必须分开，不得一起套管。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开沟回填和安装立杆的设计及施工应符合《钢筋混凝土设计规范》、《钢结构设计规范》、《电器工程防雷设计规范》、《建筑工程施工规范》、《市政工程施工规范》等国家现行的有关标准与规范。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本项目是与现有的设备共同使用，投标前需了解现有设备情况，为保证系统的可扩展性，稳定性，实用性及新旧设备的兼容性，售后服务的方便性，建议使用学校现有设备品牌。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投标人经营范围必须包括安防施工、监控销售等</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10.</w:t>
      </w:r>
      <w:r>
        <w:rPr>
          <w:rFonts w:hint="eastAsia" w:ascii="仿宋" w:hAnsi="仿宋" w:eastAsia="仿宋"/>
          <w:sz w:val="24"/>
          <w:szCs w:val="24"/>
        </w:rPr>
        <w:t>施工结束后出具线路图及学校所有监控平面分布图。</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11.</w:t>
      </w:r>
      <w:r>
        <w:rPr>
          <w:rFonts w:hint="eastAsia" w:ascii="仿宋" w:hAnsi="仿宋" w:eastAsia="仿宋"/>
          <w:sz w:val="24"/>
          <w:szCs w:val="24"/>
        </w:rPr>
        <w:t>采购的备品备件及结余的清单设备、材料用于学校已过保质期产品维修用，直接转交给保卫处相关负责人。</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所有铁箱的钥匙共用。</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13.</w:t>
      </w:r>
      <w:r>
        <w:rPr>
          <w:rFonts w:hint="eastAsia" w:ascii="仿宋" w:hAnsi="仿宋" w:eastAsia="仿宋"/>
          <w:sz w:val="24"/>
          <w:szCs w:val="24"/>
        </w:rPr>
        <w:t>本项目存在新旧设备组合、场地施工复杂等因素，投标人技术员需在投标前实地考察场地环境和现场了解新老产品需求情况，施工中各项异常原因产生的费用视为已包含在投标总报价中。</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kern w:val="2"/>
          <w:sz w:val="24"/>
          <w:szCs w:val="24"/>
          <w:lang w:val="en-US" w:eastAsia="zh-CN" w:bidi="ar-SA"/>
        </w:rPr>
      </w:pPr>
      <w:r>
        <w:rPr>
          <w:rFonts w:hint="eastAsia" w:ascii="仿宋" w:hAnsi="仿宋" w:eastAsia="仿宋"/>
          <w:sz w:val="24"/>
          <w:szCs w:val="24"/>
          <w:lang w:val="en-US" w:eastAsia="zh-CN"/>
        </w:rPr>
        <w:t>14.</w:t>
      </w:r>
      <w:r>
        <w:rPr>
          <w:rFonts w:hint="eastAsia" w:ascii="仿宋" w:hAnsi="仿宋" w:eastAsia="仿宋"/>
          <w:color w:val="000000"/>
          <w:sz w:val="24"/>
          <w:szCs w:val="24"/>
        </w:rPr>
        <w:t>合同中提供的所有货物全部应由中标人完成安装、调试，一切在安装中的货物损坏，责任均在中标人。项目最终验收合格后，中标人正式交付采购方投入使用。</w:t>
      </w:r>
    </w:p>
    <w:p>
      <w:pPr>
        <w:keepNext w:val="0"/>
        <w:keepLines w:val="0"/>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b/>
          <w:color w:val="000000"/>
          <w:sz w:val="24"/>
          <w:szCs w:val="24"/>
        </w:rPr>
      </w:pPr>
      <w:r>
        <w:rPr>
          <w:rFonts w:hint="eastAsia" w:ascii="仿宋" w:hAnsi="仿宋" w:eastAsia="仿宋"/>
          <w:b/>
          <w:color w:val="000000"/>
          <w:sz w:val="24"/>
          <w:szCs w:val="24"/>
          <w:lang w:eastAsia="zh-CN"/>
        </w:rPr>
        <w:t>二</w:t>
      </w:r>
      <w:r>
        <w:rPr>
          <w:rFonts w:hint="eastAsia" w:ascii="仿宋" w:hAnsi="仿宋" w:eastAsia="仿宋"/>
          <w:b/>
          <w:color w:val="000000"/>
          <w:sz w:val="24"/>
          <w:szCs w:val="24"/>
        </w:rPr>
        <w:t>、售后服务要求</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w:t>
      </w:r>
      <w:r>
        <w:rPr>
          <w:rFonts w:hint="eastAsia" w:ascii="仿宋" w:hAnsi="仿宋" w:eastAsia="仿宋"/>
          <w:sz w:val="24"/>
          <w:szCs w:val="24"/>
        </w:rPr>
        <w:t>中标人提供全部货物（含配件、辅件）不少于二年的质保服务，质保期自验收合格报告书上签字之日起计算（如果中标人承诺提供的质保期和质保范围超过本款要求，按中标人承诺的质保期和质保范围执行）。质保期内，非人为损坏出现的货物质量、安装问题及由此引起的一切安全问题，由中标人负责包修、包换或包退。</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val="en-US" w:eastAsia="zh-CN"/>
        </w:rPr>
        <w:t>.</w:t>
      </w:r>
      <w:r>
        <w:rPr>
          <w:rFonts w:hint="eastAsia" w:ascii="仿宋" w:hAnsi="仿宋" w:eastAsia="仿宋"/>
          <w:sz w:val="24"/>
          <w:szCs w:val="24"/>
        </w:rPr>
        <w:t>质保期内如发生设备故障，中标人应在接到采购方电话或通知（包括书面、邮件、QQ、微信、短信）后12小时内到现场免费服务，并在24小时内解决线路、网络、系统、常规配件等故障，如存在需要更换部件，需向采购方说明情况，并免费在72小时内用同样的品牌、规格或更高的部件更换到位，并确保正常运行。未在12小时内到现场服务或在24小时内未积极处理故障，每次扣罚质保金伍佰元；在72小时内未及时更换部件到位，恢复系统正常运行，每次扣罚质保金壹千元。中标人未在约定时间内完成售后服务，采购方将自行采取必要的措施，由此产生的风险和费用由中标人承担，并继续追究中标人其他责任。</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3</w:t>
      </w:r>
      <w:r>
        <w:rPr>
          <w:rFonts w:hint="eastAsia" w:ascii="仿宋" w:hAnsi="仿宋" w:eastAsia="仿宋"/>
          <w:sz w:val="24"/>
          <w:szCs w:val="24"/>
          <w:lang w:val="en-US" w:eastAsia="zh-CN"/>
        </w:rPr>
        <w:t>.</w:t>
      </w:r>
      <w:r>
        <w:rPr>
          <w:rFonts w:hint="eastAsia" w:ascii="仿宋" w:hAnsi="仿宋" w:eastAsia="仿宋"/>
          <w:sz w:val="24"/>
          <w:szCs w:val="24"/>
        </w:rPr>
        <w:t>此项目为在原有设备基础上增加设备，中标人需对共同使用的原有设备提供二年售后免费服务，不在此项目采购清单上的其他共同使用设备如需更换或维修，由采购方负责采购，中标人免费安装、调试及承担差旅费、人工费等费用。</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4</w:t>
      </w:r>
      <w:r>
        <w:rPr>
          <w:rFonts w:hint="eastAsia" w:ascii="仿宋" w:hAnsi="仿宋" w:eastAsia="仿宋"/>
          <w:sz w:val="24"/>
          <w:szCs w:val="24"/>
          <w:lang w:val="en-US" w:eastAsia="zh-CN"/>
        </w:rPr>
        <w:t>.</w:t>
      </w:r>
      <w:r>
        <w:rPr>
          <w:rFonts w:hint="eastAsia" w:ascii="仿宋" w:hAnsi="仿宋" w:eastAsia="仿宋"/>
          <w:sz w:val="24"/>
          <w:szCs w:val="24"/>
        </w:rPr>
        <w:t xml:space="preserve">中标人在采购方现场负责采购方3人以上的技术培训，提供培训计划和培训资料，保证他们能熟练掌握设备的操作及日常维护、保养技术。 </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textAlignment w:val="auto"/>
        <w:rPr>
          <w:rFonts w:ascii="仿宋" w:hAnsi="仿宋" w:eastAsia="仿宋"/>
          <w:b/>
          <w:sz w:val="24"/>
          <w:szCs w:val="24"/>
        </w:rPr>
      </w:pPr>
      <w:r>
        <w:rPr>
          <w:rFonts w:hint="eastAsia" w:ascii="仿宋" w:hAnsi="仿宋" w:eastAsia="仿宋"/>
          <w:b/>
          <w:sz w:val="24"/>
          <w:szCs w:val="24"/>
          <w:lang w:eastAsia="zh-CN"/>
        </w:rPr>
        <w:t>三</w:t>
      </w:r>
      <w:r>
        <w:rPr>
          <w:rFonts w:hint="eastAsia" w:ascii="仿宋" w:hAnsi="仿宋" w:eastAsia="仿宋"/>
          <w:b/>
          <w:sz w:val="24"/>
          <w:szCs w:val="24"/>
        </w:rPr>
        <w:t>、交货要求及付款方式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w:t>
      </w:r>
      <w:r>
        <w:rPr>
          <w:rFonts w:hint="eastAsia" w:ascii="仿宋" w:hAnsi="仿宋" w:eastAsia="仿宋" w:cs="仿宋"/>
          <w:color w:val="auto"/>
          <w:kern w:val="0"/>
          <w:sz w:val="24"/>
          <w:szCs w:val="24"/>
          <w:highlight w:val="none"/>
          <w:shd w:val="clear" w:color="auto" w:fill="auto"/>
          <w:lang w:val="en-US" w:eastAsia="zh-CN"/>
        </w:rPr>
        <w:t>2022年7月30日前</w:t>
      </w:r>
      <w:r>
        <w:rPr>
          <w:rFonts w:hint="eastAsia" w:ascii="仿宋" w:hAnsi="仿宋" w:eastAsia="仿宋"/>
          <w:sz w:val="24"/>
          <w:szCs w:val="24"/>
        </w:rPr>
        <w:t>内将产品安装至指定位置，调试完成并提交验收。</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val="en-US" w:eastAsia="zh-CN"/>
        </w:rPr>
        <w:t>.</w:t>
      </w:r>
      <w:r>
        <w:rPr>
          <w:rFonts w:hint="eastAsia" w:ascii="仿宋" w:hAnsi="仿宋" w:eastAsia="仿宋"/>
          <w:sz w:val="24"/>
          <w:szCs w:val="24"/>
        </w:rPr>
        <w:t>付款方式：整体验收安装调试合格后</w:t>
      </w:r>
      <w:r>
        <w:rPr>
          <w:rFonts w:hint="eastAsia" w:ascii="仿宋" w:hAnsi="仿宋" w:eastAsia="仿宋"/>
          <w:sz w:val="24"/>
          <w:szCs w:val="24"/>
          <w:lang w:eastAsia="zh-CN"/>
        </w:rPr>
        <w:t>按电子卖场要求</w:t>
      </w:r>
      <w:r>
        <w:rPr>
          <w:rFonts w:hint="eastAsia" w:ascii="仿宋" w:hAnsi="仿宋" w:eastAsia="仿宋"/>
          <w:sz w:val="24"/>
          <w:szCs w:val="24"/>
        </w:rPr>
        <w:t xml:space="preserve">支付合同款。 </w:t>
      </w:r>
    </w:p>
    <w:p>
      <w:pPr>
        <w:pStyle w:val="15"/>
        <w:shd w:val="clear" w:color="auto" w:fill="FFFFFF"/>
        <w:spacing w:before="150" w:beforeAutospacing="0" w:after="0" w:afterAutospacing="0" w:line="360" w:lineRule="exact"/>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r>
        <w:rPr>
          <w:rFonts w:hint="eastAsia" w:ascii="仿宋" w:hAnsi="仿宋" w:eastAsia="仿宋"/>
          <w:b/>
          <w:color w:val="auto"/>
          <w:sz w:val="36"/>
          <w:szCs w:val="36"/>
        </w:rPr>
        <w:t>第</w:t>
      </w:r>
      <w:r>
        <w:rPr>
          <w:rFonts w:hint="eastAsia" w:ascii="仿宋" w:hAnsi="仿宋" w:eastAsia="仿宋"/>
          <w:b/>
          <w:color w:val="auto"/>
          <w:sz w:val="36"/>
          <w:szCs w:val="36"/>
          <w:lang w:eastAsia="zh-CN"/>
        </w:rPr>
        <w:t>四</w:t>
      </w:r>
      <w:r>
        <w:rPr>
          <w:rFonts w:hint="eastAsia" w:ascii="仿宋" w:hAnsi="仿宋" w:eastAsia="仿宋"/>
          <w:b/>
          <w:color w:val="auto"/>
          <w:sz w:val="36"/>
          <w:szCs w:val="36"/>
        </w:rPr>
        <w:t>章 评标方法及标准</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一、评标方法</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highlight w:val="none"/>
          <w:shd w:val="clear" w:color="auto" w:fill="auto"/>
        </w:rPr>
      </w:pPr>
      <w:r>
        <w:rPr>
          <w:rFonts w:hint="eastAsia" w:ascii="仿宋" w:hAnsi="仿宋" w:eastAsia="仿宋"/>
          <w:sz w:val="24"/>
          <w:highlight w:val="none"/>
          <w:shd w:val="clear" w:color="auto" w:fill="auto"/>
        </w:rPr>
        <w:t>综合评分法，即投标文件能够最大限度的满足招标文件规定的各项综合评价标准且经评审得分最高的供应商为中标候选人的评标方法。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二、权值范围</w:t>
      </w:r>
    </w:p>
    <w:tbl>
      <w:tblPr>
        <w:tblStyle w:val="17"/>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3451"/>
        <w:gridCol w:w="3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b/>
                <w:szCs w:val="21"/>
                <w:highlight w:val="none"/>
                <w:shd w:val="clear" w:color="auto" w:fill="auto"/>
              </w:rPr>
            </w:pPr>
            <w:r>
              <w:rPr>
                <w:rFonts w:hint="eastAsia" w:ascii="仿宋" w:hAnsi="仿宋" w:eastAsia="仿宋"/>
                <w:b/>
                <w:szCs w:val="21"/>
                <w:highlight w:val="none"/>
                <w:shd w:val="clear" w:color="auto" w:fill="auto"/>
              </w:rPr>
              <w:t>序号</w:t>
            </w:r>
          </w:p>
        </w:tc>
        <w:tc>
          <w:tcPr>
            <w:tcW w:w="3451" w:type="dxa"/>
            <w:noWrap w:val="0"/>
            <w:vAlign w:val="center"/>
          </w:tcPr>
          <w:p>
            <w:pPr>
              <w:snapToGrid w:val="0"/>
              <w:spacing w:line="320" w:lineRule="exact"/>
              <w:jc w:val="center"/>
              <w:rPr>
                <w:rFonts w:ascii="仿宋" w:hAnsi="仿宋" w:eastAsia="仿宋"/>
                <w:b/>
                <w:szCs w:val="21"/>
                <w:highlight w:val="none"/>
                <w:shd w:val="clear" w:color="auto" w:fill="auto"/>
              </w:rPr>
            </w:pPr>
            <w:r>
              <w:rPr>
                <w:rFonts w:hint="eastAsia" w:ascii="仿宋" w:hAnsi="仿宋" w:eastAsia="仿宋"/>
                <w:b/>
                <w:szCs w:val="21"/>
                <w:highlight w:val="none"/>
                <w:shd w:val="clear" w:color="auto" w:fill="auto"/>
              </w:rPr>
              <w:t>评审因素</w:t>
            </w:r>
          </w:p>
        </w:tc>
        <w:tc>
          <w:tcPr>
            <w:tcW w:w="3638" w:type="dxa"/>
            <w:noWrap w:val="0"/>
            <w:vAlign w:val="center"/>
          </w:tcPr>
          <w:p>
            <w:pPr>
              <w:snapToGrid w:val="0"/>
              <w:spacing w:line="320" w:lineRule="exact"/>
              <w:jc w:val="center"/>
              <w:rPr>
                <w:rFonts w:ascii="仿宋" w:hAnsi="仿宋" w:eastAsia="仿宋"/>
                <w:b/>
                <w:szCs w:val="21"/>
                <w:highlight w:val="none"/>
                <w:shd w:val="clear" w:color="auto" w:fill="auto"/>
              </w:rPr>
            </w:pPr>
            <w:r>
              <w:rPr>
                <w:rFonts w:hint="eastAsia" w:ascii="仿宋" w:hAnsi="仿宋" w:eastAsia="仿宋"/>
                <w:b/>
                <w:szCs w:val="21"/>
                <w:highlight w:val="none"/>
                <w:shd w:val="clear" w:color="auto" w:fill="auto"/>
              </w:rPr>
              <w:t>权值范围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1</w:t>
            </w:r>
          </w:p>
        </w:tc>
        <w:tc>
          <w:tcPr>
            <w:tcW w:w="3451" w:type="dxa"/>
            <w:noWrap w:val="0"/>
            <w:vAlign w:val="center"/>
          </w:tcPr>
          <w:p>
            <w:pPr>
              <w:snapToGrid w:val="0"/>
              <w:spacing w:line="320" w:lineRule="exact"/>
              <w:jc w:val="center"/>
              <w:rPr>
                <w:rFonts w:ascii="仿宋" w:hAnsi="仿宋" w:eastAsia="仿宋"/>
                <w:szCs w:val="21"/>
                <w:highlight w:val="none"/>
                <w:shd w:val="clear" w:color="auto" w:fill="auto"/>
              </w:rPr>
            </w:pPr>
            <w:r>
              <w:rPr>
                <w:rFonts w:hint="eastAsia" w:ascii="仿宋" w:hAnsi="仿宋" w:eastAsia="仿宋"/>
                <w:szCs w:val="21"/>
                <w:highlight w:val="none"/>
                <w:shd w:val="clear" w:color="auto" w:fill="auto"/>
              </w:rPr>
              <w:t>价格部分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4</w:t>
            </w:r>
            <w:r>
              <w:rPr>
                <w:rFonts w:hint="eastAsia" w:ascii="仿宋" w:hAnsi="仿宋" w:eastAsia="仿宋"/>
                <w:szCs w:val="21"/>
                <w:highlight w:val="none"/>
                <w:shd w:val="clear" w:color="auto" w:fill="auto"/>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2</w:t>
            </w:r>
          </w:p>
        </w:tc>
        <w:tc>
          <w:tcPr>
            <w:tcW w:w="3451" w:type="dxa"/>
            <w:noWrap w:val="0"/>
            <w:vAlign w:val="center"/>
          </w:tcPr>
          <w:p>
            <w:pPr>
              <w:snapToGrid w:val="0"/>
              <w:spacing w:line="320" w:lineRule="exact"/>
              <w:jc w:val="center"/>
              <w:rPr>
                <w:rFonts w:ascii="仿宋" w:hAnsi="仿宋" w:eastAsia="仿宋"/>
                <w:szCs w:val="21"/>
                <w:highlight w:val="none"/>
                <w:shd w:val="clear" w:color="auto" w:fill="auto"/>
              </w:rPr>
            </w:pPr>
            <w:r>
              <w:rPr>
                <w:rFonts w:hint="eastAsia" w:ascii="仿宋" w:hAnsi="仿宋" w:eastAsia="仿宋"/>
                <w:szCs w:val="21"/>
                <w:highlight w:val="none"/>
                <w:shd w:val="clear" w:color="auto" w:fill="auto"/>
              </w:rPr>
              <w:t>商务部分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2</w:t>
            </w:r>
            <w:r>
              <w:rPr>
                <w:rFonts w:hint="eastAsia" w:ascii="仿宋" w:hAnsi="仿宋" w:eastAsia="仿宋"/>
                <w:szCs w:val="21"/>
                <w:highlight w:val="none"/>
                <w:shd w:val="clear" w:color="auto" w:fill="auto"/>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3</w:t>
            </w:r>
          </w:p>
        </w:tc>
        <w:tc>
          <w:tcPr>
            <w:tcW w:w="3451" w:type="dxa"/>
            <w:noWrap w:val="0"/>
            <w:vAlign w:val="center"/>
          </w:tcPr>
          <w:p>
            <w:pPr>
              <w:snapToGrid w:val="0"/>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技术部分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4</w:t>
            </w:r>
            <w:r>
              <w:rPr>
                <w:rFonts w:hint="eastAsia" w:ascii="仿宋" w:hAnsi="仿宋" w:eastAsia="仿宋"/>
                <w:szCs w:val="21"/>
                <w:highlight w:val="none"/>
                <w:shd w:val="clear" w:color="auto" w:fill="auto"/>
              </w:rPr>
              <w:t>0分</w:t>
            </w:r>
          </w:p>
        </w:tc>
      </w:tr>
    </w:tbl>
    <w:p>
      <w:pPr>
        <w:spacing w:line="320" w:lineRule="exact"/>
        <w:ind w:firstLine="482" w:firstLineChars="200"/>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三、评分细则</w:t>
      </w:r>
    </w:p>
    <w:tbl>
      <w:tblPr>
        <w:tblStyle w:val="16"/>
        <w:tblpPr w:leftFromText="180" w:rightFromText="180" w:vertAnchor="text" w:horzAnchor="margin" w:tblpY="325"/>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1232"/>
        <w:gridCol w:w="704"/>
        <w:gridCol w:w="5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51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jc w:val="center"/>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评审因素</w:t>
            </w:r>
          </w:p>
        </w:tc>
        <w:tc>
          <w:tcPr>
            <w:tcW w:w="1232"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评分内容</w:t>
            </w:r>
          </w:p>
        </w:tc>
        <w:tc>
          <w:tcPr>
            <w:tcW w:w="70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jc w:val="center"/>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分值</w:t>
            </w:r>
          </w:p>
        </w:tc>
        <w:tc>
          <w:tcPr>
            <w:tcW w:w="548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1351" w:firstLineChars="641"/>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211" w:firstLineChars="100"/>
              <w:textAlignment w:val="auto"/>
              <w:rPr>
                <w:rFonts w:hint="eastAsia" w:ascii="仿宋" w:hAnsi="仿宋" w:eastAsia="仿宋" w:cs="宋体"/>
                <w:b/>
                <w:color w:val="auto"/>
                <w:sz w:val="21"/>
                <w:szCs w:val="21"/>
                <w:highlight w:val="none"/>
                <w:shd w:val="clear" w:color="auto" w:fill="auto"/>
              </w:rPr>
            </w:pPr>
            <w:r>
              <w:rPr>
                <w:rFonts w:hint="eastAsia" w:ascii="仿宋" w:hAnsi="仿宋" w:eastAsia="仿宋" w:cs="宋体"/>
                <w:b/>
                <w:color w:val="auto"/>
                <w:sz w:val="21"/>
                <w:szCs w:val="21"/>
                <w:highlight w:val="none"/>
                <w:shd w:val="clear" w:color="auto" w:fill="auto"/>
              </w:rPr>
              <w:t>投标报价</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211" w:firstLineChars="10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w:t>
            </w:r>
            <w:r>
              <w:rPr>
                <w:rFonts w:hint="eastAsia" w:ascii="仿宋" w:hAnsi="仿宋" w:eastAsia="仿宋" w:cs="宋体"/>
                <w:b/>
                <w:bCs/>
                <w:color w:val="auto"/>
                <w:sz w:val="21"/>
                <w:szCs w:val="21"/>
                <w:highlight w:val="none"/>
                <w:shd w:val="clear" w:color="auto" w:fill="auto"/>
                <w:lang w:val="en-US" w:eastAsia="zh-CN"/>
              </w:rPr>
              <w:t>4</w:t>
            </w:r>
            <w:r>
              <w:rPr>
                <w:rFonts w:hint="eastAsia" w:ascii="仿宋" w:hAnsi="仿宋" w:eastAsia="仿宋" w:cs="宋体"/>
                <w:b/>
                <w:bCs/>
                <w:color w:val="auto"/>
                <w:sz w:val="21"/>
                <w:szCs w:val="21"/>
                <w:highlight w:val="none"/>
                <w:shd w:val="clear" w:color="auto" w:fill="auto"/>
              </w:rPr>
              <w:t>0分）</w:t>
            </w:r>
          </w:p>
        </w:tc>
        <w:tc>
          <w:tcPr>
            <w:tcW w:w="7424" w:type="dxa"/>
            <w:gridSpan w:val="3"/>
            <w:noWrap w:val="0"/>
            <w:vAlign w:val="center"/>
          </w:tcPr>
          <w:p>
            <w:pPr>
              <w:keepNext w:val="0"/>
              <w:keepLines w:val="0"/>
              <w:pageBreakBefore w:val="0"/>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宋体"/>
                <w:color w:val="auto"/>
                <w:kern w:val="0"/>
                <w:sz w:val="21"/>
                <w:szCs w:val="21"/>
                <w:highlight w:val="none"/>
                <w:shd w:val="clear" w:color="auto" w:fill="auto"/>
              </w:rPr>
            </w:pPr>
            <w:r>
              <w:rPr>
                <w:rFonts w:hint="eastAsia" w:ascii="仿宋" w:hAnsi="仿宋" w:eastAsia="仿宋" w:cs="宋体"/>
                <w:color w:val="auto"/>
                <w:kern w:val="0"/>
                <w:sz w:val="21"/>
                <w:szCs w:val="21"/>
                <w:highlight w:val="none"/>
                <w:shd w:val="clear" w:color="auto" w:fill="auto"/>
              </w:rPr>
              <w:t>满足招标文件要求且投标价格最低的投标报价为评标基准价，其价格分为满分，其他有效投标人的价格分按照下列公式计算：投标报价得分=(评标基准价／投标报价)×</w:t>
            </w:r>
            <w:r>
              <w:rPr>
                <w:rFonts w:hint="eastAsia" w:ascii="仿宋" w:hAnsi="仿宋" w:eastAsia="仿宋" w:cs="宋体"/>
                <w:color w:val="auto"/>
                <w:kern w:val="0"/>
                <w:sz w:val="21"/>
                <w:szCs w:val="21"/>
                <w:highlight w:val="none"/>
                <w:shd w:val="clear" w:color="auto" w:fill="auto"/>
                <w:lang w:val="en-US" w:eastAsia="zh-CN"/>
              </w:rPr>
              <w:t>4</w:t>
            </w:r>
            <w:r>
              <w:rPr>
                <w:rFonts w:hint="eastAsia" w:ascii="仿宋" w:hAnsi="仿宋" w:eastAsia="仿宋" w:cs="宋体"/>
                <w:color w:val="auto"/>
                <w:kern w:val="0"/>
                <w:sz w:val="21"/>
                <w:szCs w:val="21"/>
                <w:highlight w:val="none"/>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514"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务</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部</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FF0000"/>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000000"/>
                <w:sz w:val="21"/>
                <w:szCs w:val="21"/>
                <w:highlight w:val="none"/>
                <w:shd w:val="clear" w:color="auto" w:fill="auto"/>
              </w:rPr>
              <w:t>（</w:t>
            </w:r>
            <w:r>
              <w:rPr>
                <w:rFonts w:hint="eastAsia" w:ascii="仿宋" w:hAnsi="仿宋" w:eastAsia="仿宋" w:cs="宋体"/>
                <w:b/>
                <w:bCs/>
                <w:color w:val="000000"/>
                <w:sz w:val="21"/>
                <w:szCs w:val="21"/>
                <w:highlight w:val="none"/>
                <w:shd w:val="clear" w:color="auto" w:fill="auto"/>
                <w:lang w:val="en-US" w:eastAsia="zh-CN"/>
              </w:rPr>
              <w:t>2</w:t>
            </w:r>
            <w:r>
              <w:rPr>
                <w:rFonts w:hint="eastAsia" w:ascii="仿宋" w:hAnsi="仿宋" w:eastAsia="仿宋" w:cs="宋体"/>
                <w:b/>
                <w:bCs/>
                <w:color w:val="000000"/>
                <w:sz w:val="21"/>
                <w:szCs w:val="21"/>
                <w:highlight w:val="none"/>
                <w:shd w:val="clear" w:color="auto" w:fill="auto"/>
              </w:rPr>
              <w:t>0）</w:t>
            </w:r>
          </w:p>
        </w:tc>
        <w:tc>
          <w:tcPr>
            <w:tcW w:w="1232"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满足招标文件商务要求程度</w:t>
            </w:r>
          </w:p>
        </w:tc>
        <w:tc>
          <w:tcPr>
            <w:tcW w:w="704"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5分</w:t>
            </w:r>
          </w:p>
        </w:tc>
        <w:tc>
          <w:tcPr>
            <w:tcW w:w="5488"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完全满足招标文件商务指标的计5分，一般商务条款（非“★”条款）每负偏离一项扣2分，扣完为止；如应答时缺项，则视同负偏离处理。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000000"/>
                <w:sz w:val="21"/>
                <w:szCs w:val="21"/>
                <w:highlight w:val="none"/>
                <w:shd w:val="clear" w:color="auto" w:fill="auto"/>
              </w:rPr>
            </w:pPr>
          </w:p>
        </w:tc>
        <w:tc>
          <w:tcPr>
            <w:tcW w:w="1232" w:type="dxa"/>
            <w:noWrap w:val="0"/>
            <w:vAlign w:val="center"/>
          </w:tcPr>
          <w:p>
            <w:pPr>
              <w:keepNext w:val="0"/>
              <w:keepLines w:val="0"/>
              <w:pageBreakBefore w:val="0"/>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color w:val="auto"/>
                <w:sz w:val="21"/>
                <w:szCs w:val="21"/>
                <w:highlight w:val="none"/>
                <w:shd w:val="clear" w:color="auto" w:fill="auto"/>
                <w:lang w:val="en-US" w:eastAsia="zh-CN"/>
              </w:rPr>
            </w:pPr>
            <w:r>
              <w:rPr>
                <w:rFonts w:hint="eastAsia" w:ascii="仿宋" w:hAnsi="仿宋" w:eastAsia="仿宋" w:cs="Times New Roman"/>
                <w:color w:val="auto"/>
                <w:sz w:val="21"/>
                <w:szCs w:val="21"/>
                <w:highlight w:val="none"/>
                <w:shd w:val="clear" w:color="auto" w:fill="auto"/>
              </w:rPr>
              <w:t>类似业绩</w:t>
            </w:r>
          </w:p>
        </w:tc>
        <w:tc>
          <w:tcPr>
            <w:tcW w:w="704" w:type="dxa"/>
            <w:noWrap w:val="0"/>
            <w:vAlign w:val="center"/>
          </w:tcPr>
          <w:p>
            <w:pPr>
              <w:keepNext w:val="0"/>
              <w:keepLines w:val="0"/>
              <w:pageBreakBefore w:val="0"/>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color w:val="auto"/>
                <w:sz w:val="21"/>
                <w:szCs w:val="21"/>
                <w:highlight w:val="none"/>
                <w:shd w:val="clear" w:color="auto" w:fill="auto"/>
                <w:lang w:val="en-US" w:eastAsia="zh-CN"/>
              </w:rPr>
            </w:pPr>
            <w:r>
              <w:rPr>
                <w:rFonts w:hint="eastAsia" w:ascii="仿宋" w:hAnsi="仿宋" w:eastAsia="仿宋" w:cs="Times New Roman"/>
                <w:color w:val="auto"/>
                <w:sz w:val="21"/>
                <w:szCs w:val="21"/>
                <w:highlight w:val="none"/>
                <w:shd w:val="clear" w:color="auto" w:fill="auto"/>
                <w:lang w:val="en-US" w:eastAsia="zh-CN"/>
              </w:rPr>
              <w:t>5</w:t>
            </w:r>
            <w:r>
              <w:rPr>
                <w:rFonts w:hint="eastAsia" w:ascii="仿宋" w:hAnsi="仿宋" w:eastAsia="仿宋" w:cs="Times New Roman"/>
                <w:color w:val="auto"/>
                <w:sz w:val="21"/>
                <w:szCs w:val="21"/>
                <w:highlight w:val="none"/>
                <w:shd w:val="clear" w:color="auto" w:fill="auto"/>
              </w:rPr>
              <w:t>分</w:t>
            </w:r>
          </w:p>
        </w:tc>
        <w:tc>
          <w:tcPr>
            <w:tcW w:w="5488" w:type="dxa"/>
            <w:noWrap w:val="0"/>
            <w:vAlign w:val="center"/>
          </w:tcPr>
          <w:p>
            <w:pPr>
              <w:keepNext w:val="0"/>
              <w:keepLines w:val="0"/>
              <w:pageBreakBefore w:val="0"/>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color w:val="auto"/>
                <w:sz w:val="21"/>
                <w:szCs w:val="21"/>
                <w:highlight w:val="none"/>
                <w:shd w:val="clear" w:color="auto" w:fill="auto"/>
                <w:lang w:val="en-US" w:eastAsia="zh-CN"/>
              </w:rPr>
            </w:pPr>
            <w:r>
              <w:rPr>
                <w:rFonts w:hint="eastAsia" w:ascii="仿宋" w:hAnsi="仿宋" w:eastAsia="仿宋" w:cs="Times New Roman"/>
                <w:color w:val="auto"/>
                <w:sz w:val="21"/>
                <w:szCs w:val="21"/>
                <w:highlight w:val="none"/>
                <w:shd w:val="clear" w:color="auto" w:fill="auto"/>
              </w:rPr>
              <w:t>投标人自</w:t>
            </w:r>
            <w:r>
              <w:rPr>
                <w:rFonts w:hint="eastAsia" w:ascii="仿宋" w:hAnsi="仿宋" w:eastAsia="仿宋" w:cs="Times New Roman"/>
                <w:color w:val="auto"/>
                <w:sz w:val="21"/>
                <w:szCs w:val="21"/>
                <w:highlight w:val="none"/>
                <w:shd w:val="clear" w:color="auto" w:fill="auto"/>
                <w:lang w:val="en-US" w:eastAsia="zh-CN"/>
              </w:rPr>
              <w:t>2020</w:t>
            </w:r>
            <w:r>
              <w:rPr>
                <w:rFonts w:hint="eastAsia" w:ascii="仿宋" w:hAnsi="仿宋" w:eastAsia="仿宋" w:cs="Times New Roman"/>
                <w:color w:val="auto"/>
                <w:sz w:val="21"/>
                <w:szCs w:val="21"/>
                <w:highlight w:val="none"/>
                <w:shd w:val="clear" w:color="auto" w:fill="auto"/>
              </w:rPr>
              <w:t>年1月1日（以合同签订时间为准）以来，具有类似</w:t>
            </w:r>
            <w:r>
              <w:rPr>
                <w:rFonts w:hint="eastAsia" w:ascii="仿宋" w:hAnsi="仿宋" w:eastAsia="仿宋" w:cs="Times New Roman"/>
                <w:color w:val="auto"/>
                <w:sz w:val="21"/>
                <w:szCs w:val="21"/>
                <w:highlight w:val="none"/>
                <w:shd w:val="clear" w:color="auto" w:fill="auto"/>
                <w:lang w:eastAsia="zh-CN"/>
              </w:rPr>
              <w:t>合同</w:t>
            </w:r>
            <w:r>
              <w:rPr>
                <w:rFonts w:hint="eastAsia" w:ascii="仿宋" w:hAnsi="仿宋" w:eastAsia="仿宋" w:cs="Times New Roman"/>
                <w:color w:val="auto"/>
                <w:sz w:val="21"/>
                <w:szCs w:val="21"/>
                <w:highlight w:val="none"/>
                <w:shd w:val="clear" w:color="auto" w:fill="auto"/>
              </w:rPr>
              <w:t>业绩的每项计</w:t>
            </w:r>
            <w:r>
              <w:rPr>
                <w:rFonts w:hint="eastAsia" w:ascii="仿宋" w:hAnsi="仿宋" w:eastAsia="仿宋" w:cs="Times New Roman"/>
                <w:color w:val="auto"/>
                <w:sz w:val="21"/>
                <w:szCs w:val="21"/>
                <w:highlight w:val="none"/>
                <w:shd w:val="clear" w:color="auto" w:fill="auto"/>
                <w:lang w:val="en-US" w:eastAsia="zh-CN"/>
              </w:rPr>
              <w:t>2.5</w:t>
            </w:r>
            <w:r>
              <w:rPr>
                <w:rFonts w:hint="eastAsia" w:ascii="仿宋" w:hAnsi="仿宋" w:eastAsia="仿宋" w:cs="Times New Roman"/>
                <w:color w:val="auto"/>
                <w:sz w:val="21"/>
                <w:szCs w:val="21"/>
                <w:highlight w:val="none"/>
                <w:shd w:val="clear" w:color="auto" w:fill="auto"/>
              </w:rPr>
              <w:t>分，本项最高得分为</w:t>
            </w:r>
            <w:r>
              <w:rPr>
                <w:rFonts w:hint="eastAsia" w:ascii="仿宋" w:hAnsi="仿宋" w:eastAsia="仿宋" w:cs="Times New Roman"/>
                <w:color w:val="auto"/>
                <w:sz w:val="21"/>
                <w:szCs w:val="21"/>
                <w:highlight w:val="none"/>
                <w:shd w:val="clear" w:color="auto" w:fill="auto"/>
                <w:lang w:val="en-US" w:eastAsia="zh-CN"/>
              </w:rPr>
              <w:t>5</w:t>
            </w:r>
            <w:r>
              <w:rPr>
                <w:rFonts w:hint="eastAsia" w:ascii="仿宋" w:hAnsi="仿宋" w:eastAsia="仿宋" w:cs="Times New Roman"/>
                <w:color w:val="auto"/>
                <w:sz w:val="21"/>
                <w:szCs w:val="21"/>
                <w:highlight w:val="none"/>
                <w:shd w:val="clear" w:color="auto" w:fill="auto"/>
              </w:rPr>
              <w:t>分。（提供合同复印件</w:t>
            </w:r>
            <w:r>
              <w:rPr>
                <w:rFonts w:hint="eastAsia" w:ascii="仿宋" w:hAnsi="仿宋" w:eastAsia="仿宋" w:cs="Times New Roman"/>
                <w:color w:val="auto"/>
                <w:sz w:val="21"/>
                <w:szCs w:val="21"/>
                <w:highlight w:val="none"/>
                <w:shd w:val="clear" w:color="auto" w:fill="auto"/>
                <w:lang w:eastAsia="zh-CN"/>
              </w:rPr>
              <w:t>，未提供的</w:t>
            </w:r>
            <w:r>
              <w:rPr>
                <w:rFonts w:hint="eastAsia" w:ascii="仿宋" w:hAnsi="仿宋" w:eastAsia="仿宋" w:cs="Times New Roman"/>
                <w:color w:val="auto"/>
                <w:sz w:val="21"/>
                <w:szCs w:val="21"/>
                <w:highlight w:val="none"/>
                <w:shd w:val="clear" w:color="auto" w:fill="auto"/>
              </w:rPr>
              <w:t>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5" w:firstLineChars="150"/>
              <w:textAlignment w:val="auto"/>
              <w:rPr>
                <w:rFonts w:hint="eastAsia" w:ascii="仿宋" w:hAnsi="仿宋" w:eastAsia="仿宋" w:cs="宋体"/>
                <w:bCs/>
                <w:color w:val="auto"/>
                <w:sz w:val="21"/>
                <w:szCs w:val="21"/>
                <w:highlight w:val="none"/>
                <w:shd w:val="clear" w:color="auto" w:fill="auto"/>
              </w:rPr>
            </w:pPr>
          </w:p>
        </w:tc>
        <w:tc>
          <w:tcPr>
            <w:tcW w:w="1232" w:type="dxa"/>
            <w:noWrap w:val="0"/>
            <w:vAlign w:val="center"/>
          </w:tcPr>
          <w:p>
            <w:pPr>
              <w:pStyle w:val="25"/>
              <w:keepNext w:val="0"/>
              <w:keepLines w:val="0"/>
              <w:pageBreakBefore w:val="0"/>
              <w:widowControl w:val="0"/>
              <w:kinsoku/>
              <w:wordWrap/>
              <w:overflowPunct/>
              <w:topLinePunct w:val="0"/>
              <w:autoSpaceDE/>
              <w:autoSpaceDN/>
              <w:bidi w:val="0"/>
              <w:spacing w:line="280" w:lineRule="exact"/>
              <w:jc w:val="lef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售后服务</w:t>
            </w:r>
          </w:p>
        </w:tc>
        <w:tc>
          <w:tcPr>
            <w:tcW w:w="704" w:type="dxa"/>
            <w:noWrap w:val="0"/>
            <w:vAlign w:val="center"/>
          </w:tcPr>
          <w:p>
            <w:pPr>
              <w:pStyle w:val="25"/>
              <w:keepNext w:val="0"/>
              <w:keepLines w:val="0"/>
              <w:pageBreakBefore w:val="0"/>
              <w:widowControl w:val="0"/>
              <w:kinsoku/>
              <w:wordWrap/>
              <w:overflowPunct/>
              <w:topLinePunct w:val="0"/>
              <w:autoSpaceDE/>
              <w:autoSpaceDN/>
              <w:bidi w:val="0"/>
              <w:spacing w:line="280" w:lineRule="exact"/>
              <w:jc w:val="lef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10分</w:t>
            </w:r>
          </w:p>
        </w:tc>
        <w:tc>
          <w:tcPr>
            <w:tcW w:w="5488"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根据投标人对本项目提供售后服务方案：能够提供快速、便捷、持续的技术支持，服务响应时间，免费售后服务内容及事项，质保期满后服务措施，易损件维修报价清单等，方案科学完整、可行性高的计10分；每有一项遗漏缺失或可行性不高的扣2分，扣完为止。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514"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技</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术</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部</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w:t>
            </w:r>
            <w:r>
              <w:rPr>
                <w:rFonts w:hint="eastAsia" w:ascii="仿宋" w:hAnsi="仿宋" w:eastAsia="仿宋" w:cs="宋体"/>
                <w:b/>
                <w:bCs/>
                <w:color w:val="auto"/>
                <w:sz w:val="21"/>
                <w:szCs w:val="21"/>
                <w:highlight w:val="none"/>
                <w:shd w:val="clear" w:color="auto" w:fill="auto"/>
                <w:lang w:val="en-US" w:eastAsia="zh-CN"/>
              </w:rPr>
              <w:t>4</w:t>
            </w:r>
            <w:r>
              <w:rPr>
                <w:rFonts w:hint="eastAsia" w:ascii="仿宋" w:hAnsi="仿宋" w:eastAsia="仿宋" w:cs="宋体"/>
                <w:b/>
                <w:bCs/>
                <w:color w:val="auto"/>
                <w:sz w:val="21"/>
                <w:szCs w:val="21"/>
                <w:highlight w:val="none"/>
                <w:shd w:val="clear" w:color="auto" w:fill="auto"/>
              </w:rPr>
              <w:t>0）</w:t>
            </w:r>
          </w:p>
        </w:tc>
        <w:tc>
          <w:tcPr>
            <w:tcW w:w="1232"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技术满足招标文件技术要求程度</w:t>
            </w: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20分</w:t>
            </w:r>
          </w:p>
        </w:tc>
        <w:tc>
          <w:tcPr>
            <w:tcW w:w="5488"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完全满足招标文件技术指标的计</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0分，一般技术条款（非“★”条款）每负偏离一项扣</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分；如应答时缺项，则视同负偏离处理。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p>
        </w:tc>
        <w:tc>
          <w:tcPr>
            <w:tcW w:w="1232"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firstLine="210" w:firstLineChars="100"/>
              <w:textAlignment w:val="auto"/>
              <w:rPr>
                <w:rFonts w:hint="eastAsia" w:ascii="仿宋" w:hAnsi="仿宋" w:eastAsia="仿宋" w:cs="Times New Roman"/>
                <w:b w:val="0"/>
                <w:bCs w:val="0"/>
                <w:color w:val="000000"/>
                <w:sz w:val="21"/>
                <w:szCs w:val="21"/>
                <w:highlight w:val="none"/>
                <w:shd w:val="clear" w:color="auto" w:fill="auto"/>
                <w:lang w:eastAsia="zh-CN"/>
              </w:rPr>
            </w:pPr>
            <w:r>
              <w:rPr>
                <w:rFonts w:hint="eastAsia" w:ascii="仿宋" w:hAnsi="仿宋" w:eastAsia="仿宋" w:cs="Times New Roman"/>
                <w:b w:val="0"/>
                <w:bCs w:val="0"/>
                <w:color w:val="000000"/>
                <w:sz w:val="21"/>
                <w:szCs w:val="21"/>
                <w:highlight w:val="none"/>
                <w:shd w:val="clear" w:color="auto" w:fill="auto"/>
                <w:lang w:eastAsia="zh-CN"/>
              </w:rPr>
              <w:t>项目</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eastAsia="zh-CN"/>
              </w:rPr>
            </w:pPr>
            <w:r>
              <w:rPr>
                <w:rFonts w:hint="eastAsia" w:ascii="仿宋" w:hAnsi="仿宋" w:eastAsia="仿宋" w:cs="Times New Roman"/>
                <w:b w:val="0"/>
                <w:bCs w:val="0"/>
                <w:color w:val="000000"/>
                <w:sz w:val="21"/>
                <w:szCs w:val="21"/>
                <w:highlight w:val="none"/>
                <w:shd w:val="clear" w:color="auto" w:fill="auto"/>
                <w:lang w:eastAsia="zh-CN"/>
              </w:rPr>
              <w:t>实施方案</w:t>
            </w: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20分</w:t>
            </w:r>
          </w:p>
        </w:tc>
        <w:tc>
          <w:tcPr>
            <w:tcW w:w="5488" w:type="dxa"/>
            <w:noWrap w:val="0"/>
            <w:vAlign w:val="top"/>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根据项目实施方案描述的项目实施进度安排（含周期表）、安装实施</w:t>
            </w:r>
            <w:r>
              <w:rPr>
                <w:rFonts w:hint="eastAsia" w:ascii="仿宋" w:hAnsi="仿宋" w:eastAsia="仿宋" w:cs="Times New Roman"/>
                <w:b w:val="0"/>
                <w:bCs w:val="0"/>
                <w:color w:val="000000"/>
                <w:sz w:val="21"/>
                <w:szCs w:val="21"/>
                <w:highlight w:val="none"/>
                <w:shd w:val="clear" w:color="auto" w:fill="auto"/>
                <w:lang w:eastAsia="zh-CN"/>
              </w:rPr>
              <w:t>方案</w:t>
            </w:r>
            <w:r>
              <w:rPr>
                <w:rFonts w:hint="eastAsia" w:ascii="仿宋" w:hAnsi="仿宋" w:eastAsia="仿宋" w:cs="Times New Roman"/>
                <w:b w:val="0"/>
                <w:bCs w:val="0"/>
                <w:color w:val="000000"/>
                <w:sz w:val="21"/>
                <w:szCs w:val="21"/>
                <w:highlight w:val="none"/>
                <w:shd w:val="clear" w:color="auto" w:fill="auto"/>
              </w:rPr>
              <w:t>、培训方案</w:t>
            </w:r>
            <w:r>
              <w:rPr>
                <w:rFonts w:hint="eastAsia" w:ascii="仿宋" w:hAnsi="仿宋" w:eastAsia="仿宋" w:cs="Times New Roman"/>
                <w:b w:val="0"/>
                <w:bCs w:val="0"/>
                <w:color w:val="000000"/>
                <w:sz w:val="21"/>
                <w:szCs w:val="21"/>
                <w:highlight w:val="none"/>
                <w:shd w:val="clear" w:color="auto" w:fill="auto"/>
                <w:lang w:eastAsia="zh-CN"/>
              </w:rPr>
              <w:t>、产品使用情况</w:t>
            </w:r>
            <w:r>
              <w:rPr>
                <w:rFonts w:hint="eastAsia" w:ascii="仿宋" w:hAnsi="仿宋" w:eastAsia="仿宋" w:cs="Times New Roman"/>
                <w:b w:val="0"/>
                <w:bCs w:val="0"/>
                <w:color w:val="000000"/>
                <w:sz w:val="21"/>
                <w:szCs w:val="21"/>
                <w:highlight w:val="none"/>
                <w:shd w:val="clear" w:color="auto" w:fill="auto"/>
              </w:rPr>
              <w:t>等</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rPr>
              <w:t>实施方案完整、</w:t>
            </w:r>
            <w:r>
              <w:rPr>
                <w:rFonts w:hint="eastAsia" w:ascii="仿宋" w:hAnsi="仿宋" w:eastAsia="仿宋" w:cs="Times New Roman"/>
                <w:b w:val="0"/>
                <w:bCs w:val="0"/>
                <w:color w:val="000000"/>
                <w:sz w:val="21"/>
                <w:szCs w:val="21"/>
                <w:highlight w:val="none"/>
                <w:shd w:val="clear" w:color="auto" w:fill="auto"/>
                <w:lang w:eastAsia="zh-CN"/>
              </w:rPr>
              <w:t>产品兼容性高，</w:t>
            </w:r>
            <w:r>
              <w:rPr>
                <w:rFonts w:hint="eastAsia" w:ascii="仿宋" w:hAnsi="仿宋" w:eastAsia="仿宋" w:cs="Times New Roman"/>
                <w:b w:val="0"/>
                <w:bCs w:val="0"/>
                <w:color w:val="000000"/>
                <w:sz w:val="21"/>
                <w:szCs w:val="21"/>
                <w:highlight w:val="none"/>
                <w:shd w:val="clear" w:color="auto" w:fill="auto"/>
              </w:rPr>
              <w:t>可行性高</w:t>
            </w:r>
            <w:r>
              <w:rPr>
                <w:rFonts w:hint="eastAsia" w:ascii="仿宋" w:hAnsi="仿宋" w:eastAsia="仿宋" w:cs="Times New Roman"/>
                <w:b w:val="0"/>
                <w:bCs w:val="0"/>
                <w:color w:val="000000"/>
                <w:sz w:val="21"/>
                <w:szCs w:val="21"/>
                <w:highlight w:val="none"/>
                <w:shd w:val="clear" w:color="auto" w:fill="auto"/>
                <w:lang w:eastAsia="zh-CN"/>
              </w:rPr>
              <w:t>的</w:t>
            </w:r>
            <w:r>
              <w:rPr>
                <w:rFonts w:hint="eastAsia" w:ascii="仿宋" w:hAnsi="仿宋" w:eastAsia="仿宋" w:cs="Times New Roman"/>
                <w:b w:val="0"/>
                <w:bCs w:val="0"/>
                <w:color w:val="000000"/>
                <w:sz w:val="21"/>
                <w:szCs w:val="21"/>
                <w:highlight w:val="none"/>
                <w:shd w:val="clear" w:color="auto" w:fill="auto"/>
              </w:rPr>
              <w:t>计</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每有一项遗漏缺失或可行性不高的扣2分，扣完为止。</w:t>
            </w:r>
          </w:p>
        </w:tc>
      </w:tr>
    </w:tbl>
    <w:p>
      <w:pPr>
        <w:spacing w:line="360" w:lineRule="exact"/>
        <w:ind w:firstLine="555"/>
        <w:rPr>
          <w:rFonts w:hint="eastAsia" w:ascii="仿宋" w:hAnsi="仿宋" w:eastAsia="仿宋"/>
          <w:b/>
          <w:color w:val="auto"/>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color w:val="auto"/>
          <w:sz w:val="24"/>
          <w:szCs w:val="24"/>
        </w:rPr>
      </w:pPr>
    </w:p>
    <w:p>
      <w:pPr>
        <w:pStyle w:val="5"/>
        <w:keepNext w:val="0"/>
        <w:rPr>
          <w:rFonts w:hint="default" w:ascii="仿宋" w:hAnsi="仿宋" w:eastAsia="仿宋"/>
          <w:b/>
          <w:sz w:val="36"/>
          <w:szCs w:val="36"/>
          <w:lang w:val="en-US" w:eastAsia="zh-CN"/>
        </w:rPr>
        <w:sectPr>
          <w:headerReference r:id="rId5" w:type="first"/>
          <w:footerReference r:id="rId7" w:type="first"/>
          <w:headerReference r:id="rId3" w:type="default"/>
          <w:headerReference r:id="rId4" w:type="even"/>
          <w:footerReference r:id="rId6" w:type="even"/>
          <w:pgSz w:w="11906" w:h="16838"/>
          <w:pgMar w:top="1531" w:right="1684" w:bottom="1474" w:left="1740" w:header="851" w:footer="992" w:gutter="0"/>
          <w:cols w:space="720" w:num="1"/>
          <w:docGrid w:type="lines" w:linePitch="312" w:charSpace="0"/>
        </w:sectPr>
      </w:pPr>
      <w:r>
        <w:rPr>
          <w:rFonts w:hint="eastAsia" w:ascii="仿宋" w:hAnsi="仿宋" w:eastAsia="仿宋"/>
          <w:b/>
          <w:color w:val="auto"/>
          <w:sz w:val="24"/>
        </w:rPr>
        <w:t xml:space="preserve">    </w:t>
      </w:r>
      <w:r>
        <w:rPr>
          <w:rFonts w:hint="eastAsia" w:ascii="仿宋" w:hAnsi="仿宋" w:eastAsia="仿宋"/>
          <w:b/>
          <w:color w:val="auto"/>
          <w:sz w:val="24"/>
          <w:lang w:val="en-US" w:eastAsia="zh-CN"/>
        </w:rPr>
        <w:t xml:space="preserve">  </w:t>
      </w:r>
    </w:p>
    <w:p>
      <w:pPr>
        <w:pStyle w:val="19"/>
        <w:tabs>
          <w:tab w:val="left" w:pos="-180"/>
        </w:tabs>
        <w:ind w:left="0" w:leftChars="0" w:firstLine="4819" w:firstLineChars="1500"/>
        <w:jc w:val="both"/>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五</w:t>
      </w:r>
      <w:r>
        <w:rPr>
          <w:rFonts w:hint="eastAsia" w:ascii="仿宋" w:hAnsi="仿宋" w:eastAsia="仿宋"/>
          <w:b/>
          <w:sz w:val="32"/>
          <w:szCs w:val="32"/>
        </w:rPr>
        <w:t>章  报价表</w:t>
      </w:r>
    </w:p>
    <w:p>
      <w:pPr>
        <w:jc w:val="center"/>
        <w:rPr>
          <w:rFonts w:hint="eastAsia"/>
          <w:lang w:eastAsia="zh-CN"/>
        </w:rPr>
      </w:pPr>
      <w:r>
        <w:rPr>
          <w:rFonts w:hint="eastAsia" w:ascii="仿宋" w:hAnsi="仿宋" w:eastAsia="仿宋"/>
          <w:b/>
          <w:bCs/>
          <w:color w:val="000000"/>
          <w:sz w:val="28"/>
          <w:szCs w:val="28"/>
          <w:lang w:eastAsia="zh-CN"/>
        </w:rPr>
        <w:t>湖南科技学院</w:t>
      </w:r>
      <w:r>
        <w:rPr>
          <w:rFonts w:hint="eastAsia" w:ascii="仿宋" w:hAnsi="仿宋" w:eastAsia="仿宋"/>
          <w:b/>
          <w:bCs/>
          <w:color w:val="000000"/>
          <w:sz w:val="28"/>
          <w:szCs w:val="28"/>
          <w:lang w:val="en-US" w:eastAsia="zh-CN"/>
        </w:rPr>
        <w:t>实训大楼监控建</w:t>
      </w:r>
      <w:r>
        <w:rPr>
          <w:rFonts w:hint="eastAsia" w:ascii="仿宋" w:hAnsi="仿宋" w:eastAsia="仿宋"/>
          <w:b/>
          <w:bCs/>
          <w:color w:val="000000"/>
          <w:sz w:val="28"/>
          <w:szCs w:val="28"/>
          <w:lang w:eastAsia="zh-CN"/>
        </w:rPr>
        <w:t>设项目报价表</w:t>
      </w:r>
    </w:p>
    <w:tbl>
      <w:tblPr>
        <w:tblStyle w:val="16"/>
        <w:tblW w:w="13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4"/>
        <w:gridCol w:w="2638"/>
        <w:gridCol w:w="1252"/>
        <w:gridCol w:w="2759"/>
        <w:gridCol w:w="806"/>
        <w:gridCol w:w="956"/>
        <w:gridCol w:w="1095"/>
        <w:gridCol w:w="1112"/>
        <w:gridCol w:w="2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货物名称</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制造商名称</w:t>
            </w: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型号规格</w:t>
            </w: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单价（元）</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小计（元）</w:t>
            </w: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FF"/>
                <w:sz w:val="18"/>
                <w:szCs w:val="18"/>
                <w:u w:val="none"/>
              </w:rPr>
            </w:pPr>
            <w:r>
              <w:rPr>
                <w:rFonts w:hint="eastAsia" w:ascii="宋体" w:hAnsi="宋体" w:eastAsia="宋体" w:cs="宋体"/>
                <w:i w:val="0"/>
                <w:iCs w:val="0"/>
                <w:color w:val="0000FF"/>
                <w:kern w:val="0"/>
                <w:sz w:val="18"/>
                <w:szCs w:val="18"/>
                <w:u w:val="none"/>
                <w:lang w:val="en-US" w:eastAsia="zh-CN" w:bidi="ar"/>
              </w:rPr>
              <w:t>1</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400万星光级</w:t>
            </w:r>
            <w:r>
              <w:rPr>
                <w:rFonts w:hint="eastAsia" w:ascii="宋体" w:hAnsi="宋体" w:cs="宋体"/>
                <w:i w:val="0"/>
                <w:iCs w:val="0"/>
                <w:color w:val="000000"/>
                <w:kern w:val="0"/>
                <w:sz w:val="18"/>
                <w:szCs w:val="18"/>
                <w:u w:val="none"/>
                <w:lang w:val="en-US" w:eastAsia="zh-CN" w:bidi="ar"/>
              </w:rPr>
              <w:t>枪机</w:t>
            </w:r>
            <w:r>
              <w:rPr>
                <w:rFonts w:hint="eastAsia" w:ascii="宋体" w:hAnsi="宋体" w:eastAsia="宋体" w:cs="宋体"/>
                <w:i w:val="0"/>
                <w:iCs w:val="0"/>
                <w:color w:val="000000"/>
                <w:kern w:val="0"/>
                <w:sz w:val="18"/>
                <w:szCs w:val="18"/>
                <w:u w:val="none"/>
                <w:lang w:val="en-US" w:eastAsia="zh-CN" w:bidi="ar"/>
              </w:rPr>
              <w:t>网络摄像机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22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含枪机支架、电源、电源盒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FF"/>
                <w:kern w:val="0"/>
                <w:sz w:val="18"/>
                <w:szCs w:val="18"/>
                <w:u w:val="none"/>
                <w:lang w:val="en-US" w:eastAsia="zh-CN" w:bidi="ar"/>
              </w:rPr>
            </w:pPr>
            <w:r>
              <w:rPr>
                <w:rFonts w:hint="eastAsia" w:ascii="宋体" w:hAnsi="宋体" w:cs="宋体"/>
                <w:i w:val="0"/>
                <w:iCs w:val="0"/>
                <w:color w:val="0000FF"/>
                <w:kern w:val="0"/>
                <w:sz w:val="18"/>
                <w:szCs w:val="18"/>
                <w:u w:val="none"/>
                <w:lang w:val="en-US" w:eastAsia="zh-CN" w:bidi="ar"/>
              </w:rPr>
              <w:t>2</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400万星光级</w:t>
            </w:r>
            <w:r>
              <w:rPr>
                <w:rFonts w:hint="eastAsia" w:ascii="宋体" w:hAnsi="宋体" w:cs="宋体"/>
                <w:i w:val="0"/>
                <w:iCs w:val="0"/>
                <w:color w:val="000000"/>
                <w:kern w:val="0"/>
                <w:sz w:val="18"/>
                <w:szCs w:val="18"/>
                <w:u w:val="none"/>
                <w:lang w:val="en-US" w:eastAsia="zh-CN" w:bidi="ar"/>
              </w:rPr>
              <w:t>半球</w:t>
            </w:r>
            <w:r>
              <w:rPr>
                <w:rFonts w:hint="eastAsia" w:ascii="宋体" w:hAnsi="宋体" w:eastAsia="宋体" w:cs="宋体"/>
                <w:i w:val="0"/>
                <w:iCs w:val="0"/>
                <w:color w:val="000000"/>
                <w:kern w:val="0"/>
                <w:sz w:val="18"/>
                <w:szCs w:val="18"/>
                <w:u w:val="none"/>
                <w:lang w:val="en-US" w:eastAsia="zh-CN" w:bidi="ar"/>
              </w:rPr>
              <w:t>网络摄像机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32路硬盘录像机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6T监控硬盘</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电视机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HDMI高清数据线</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10米以上/根，符合安装需要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24</w:t>
            </w:r>
            <w:r>
              <w:rPr>
                <w:rFonts w:hint="eastAsia" w:ascii="宋体" w:hAnsi="宋体" w:eastAsia="宋体" w:cs="宋体"/>
                <w:i w:val="0"/>
                <w:iCs w:val="0"/>
                <w:color w:val="000000"/>
                <w:kern w:val="0"/>
                <w:sz w:val="18"/>
                <w:szCs w:val="18"/>
                <w:u w:val="none"/>
                <w:lang w:val="en-US" w:eastAsia="zh-CN" w:bidi="ar"/>
              </w:rPr>
              <w:t>口千兆</w:t>
            </w:r>
            <w:r>
              <w:rPr>
                <w:rFonts w:hint="eastAsia" w:ascii="宋体" w:hAnsi="宋体" w:cs="宋体"/>
                <w:i w:val="0"/>
                <w:iCs w:val="0"/>
                <w:color w:val="000000"/>
                <w:kern w:val="0"/>
                <w:sz w:val="18"/>
                <w:szCs w:val="18"/>
                <w:u w:val="none"/>
                <w:lang w:val="en-US" w:eastAsia="zh-CN" w:bidi="ar"/>
              </w:rPr>
              <w:t>管理</w:t>
            </w:r>
            <w:r>
              <w:rPr>
                <w:rFonts w:hint="eastAsia" w:ascii="宋体" w:hAnsi="宋体" w:eastAsia="宋体" w:cs="宋体"/>
                <w:i w:val="0"/>
                <w:iCs w:val="0"/>
                <w:color w:val="000000"/>
                <w:kern w:val="0"/>
                <w:sz w:val="18"/>
                <w:szCs w:val="18"/>
                <w:u w:val="none"/>
                <w:lang w:val="en-US" w:eastAsia="zh-CN" w:bidi="ar"/>
              </w:rPr>
              <w:t>交换机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5口百兆POE交换机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9口百兆POE交换机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10口千兆POE交换机</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1光1电光纤收发器</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含60路熔纤、跳纤、尾纤、耦合器、熔接盒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1光4电光纤收发器</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含48路熔纤、跳纤、尾纤、耦合器、熔接盒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小号防水铁箱</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含数模化插座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中号防水铁箱</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含数模化插座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12U机柜</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监控立杆</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含地笼，3个横臂，有一根双枪位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超5类网线</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米</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00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含布线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12芯光纤</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含布纤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护套线</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含布线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线管、线槽</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含布管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1</w:t>
            </w:r>
          </w:p>
        </w:tc>
        <w:tc>
          <w:tcPr>
            <w:tcW w:w="26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路面开沟回填</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20cm＜厚度</w:t>
            </w:r>
            <w:r>
              <w:rPr>
                <w:rFonts w:hint="eastAsia" w:ascii="仿宋" w:hAnsi="仿宋" w:eastAsia="仿宋" w:cs="仿宋"/>
                <w:i w:val="0"/>
                <w:iCs w:val="0"/>
                <w:color w:val="000000"/>
                <w:kern w:val="0"/>
                <w:sz w:val="18"/>
                <w:szCs w:val="18"/>
                <w:u w:val="none"/>
                <w:lang w:val="en-US" w:eastAsia="zh-CN" w:bidi="ar"/>
              </w:rPr>
              <w:t>&lt;</w:t>
            </w:r>
            <w:r>
              <w:rPr>
                <w:rFonts w:hint="eastAsia" w:ascii="宋体" w:hAnsi="宋体" w:eastAsia="宋体" w:cs="宋体"/>
                <w:i w:val="0"/>
                <w:iCs w:val="0"/>
                <w:color w:val="000000"/>
                <w:kern w:val="0"/>
                <w:sz w:val="18"/>
                <w:szCs w:val="18"/>
                <w:u w:val="none"/>
                <w:lang w:val="en-US" w:eastAsia="zh-CN" w:bidi="ar"/>
              </w:rPr>
              <w:t>35cm，</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宽度</w:t>
            </w:r>
            <w:r>
              <w:rPr>
                <w:rFonts w:hint="eastAsia" w:ascii="仿宋" w:hAnsi="仿宋" w:eastAsia="仿宋" w:cs="仿宋"/>
                <w:i w:val="0"/>
                <w:iCs w:val="0"/>
                <w:color w:val="000000"/>
                <w:kern w:val="0"/>
                <w:sz w:val="18"/>
                <w:szCs w:val="18"/>
                <w:u w:val="none"/>
                <w:lang w:val="en-US" w:eastAsia="zh-CN" w:bidi="ar"/>
              </w:rPr>
              <w:t>&gt;</w:t>
            </w:r>
            <w:r>
              <w:rPr>
                <w:rFonts w:hint="eastAsia" w:ascii="宋体" w:hAnsi="宋体" w:eastAsia="宋体" w:cs="宋体"/>
                <w:i w:val="0"/>
                <w:iCs w:val="0"/>
                <w:color w:val="000000"/>
                <w:kern w:val="0"/>
                <w:sz w:val="18"/>
                <w:szCs w:val="18"/>
                <w:u w:val="none"/>
                <w:lang w:val="en-US" w:eastAsia="zh-CN" w:bidi="ar"/>
              </w:rPr>
              <w:t>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316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sz w:val="18"/>
                <w:szCs w:val="18"/>
                <w:u w:val="none"/>
                <w:lang w:eastAsia="zh-CN"/>
              </w:rPr>
              <w:t>大写：</w:t>
            </w:r>
            <w:r>
              <w:rPr>
                <w:rFonts w:hint="eastAsia" w:ascii="宋体" w:hAnsi="宋体" w:eastAsia="宋体" w:cs="宋体"/>
                <w:i w:val="0"/>
                <w:iCs w:val="0"/>
                <w:color w:val="000000"/>
                <w:sz w:val="18"/>
                <w:szCs w:val="18"/>
                <w:u w:val="none"/>
                <w:lang w:val="en-US" w:eastAsia="zh-CN"/>
              </w:rPr>
              <w:t xml:space="preserve">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1394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备注：以上单价均含安装调试、辅材、税金，不因施工难度增加而增加任何费用</w:t>
            </w:r>
          </w:p>
        </w:tc>
      </w:tr>
    </w:tbl>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投标单位（盖章）：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法定代表人或授权代表（签字）：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联  系  电  话：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仿宋" w:hAnsi="仿宋" w:eastAsia="仿宋" w:cs="Arial"/>
          <w:b/>
          <w:color w:val="222222"/>
          <w:sz w:val="28"/>
          <w:szCs w:val="28"/>
          <w:lang w:val="en-US" w:eastAsia="zh-CN"/>
        </w:rPr>
      </w:pPr>
      <w:r>
        <w:rPr>
          <w:rFonts w:hint="eastAsia" w:ascii="宋体" w:hAnsi="宋体" w:eastAsia="宋体" w:cs="宋体"/>
          <w:i w:val="0"/>
          <w:iCs w:val="0"/>
          <w:color w:val="000000"/>
          <w:kern w:val="0"/>
          <w:sz w:val="18"/>
          <w:szCs w:val="18"/>
          <w:u w:val="none"/>
          <w:lang w:val="en-US" w:eastAsia="zh-CN" w:bidi="ar"/>
        </w:rPr>
        <w:t>日期：     年       月    日</w:t>
      </w: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sectPr>
          <w:pgSz w:w="16838" w:h="11906" w:orient="landscape"/>
          <w:pgMar w:top="1797" w:right="1361" w:bottom="1797" w:left="1361" w:header="851" w:footer="992" w:gutter="0"/>
          <w:cols w:space="0" w:num="1"/>
          <w:rtlGutter w:val="0"/>
          <w:docGrid w:type="lines" w:linePitch="319" w:charSpace="0"/>
        </w:sectPr>
      </w:pPr>
    </w:p>
    <w:p>
      <w:pPr>
        <w:numPr>
          <w:ilvl w:val="0"/>
          <w:numId w:val="0"/>
        </w:numPr>
        <w:adjustRightInd w:val="0"/>
        <w:snapToGrid w:val="0"/>
        <w:spacing w:before="156" w:beforeLines="50" w:line="380" w:lineRule="exact"/>
        <w:ind w:firstLine="2570" w:firstLineChars="800"/>
        <w:rPr>
          <w:rFonts w:hint="eastAsia" w:ascii="仿宋" w:hAnsi="仿宋" w:eastAsia="仿宋" w:cs="Times New Roman"/>
          <w:b/>
          <w:sz w:val="32"/>
          <w:szCs w:val="32"/>
          <w:lang w:val="en-US" w:eastAsia="zh-CN"/>
        </w:rPr>
      </w:pPr>
      <w:r>
        <w:rPr>
          <w:rFonts w:hint="eastAsia" w:ascii="仿宋" w:hAnsi="仿宋" w:eastAsia="仿宋" w:cs="Times New Roman"/>
          <w:b/>
          <w:sz w:val="32"/>
          <w:szCs w:val="32"/>
          <w:lang w:val="en-US" w:eastAsia="zh-CN"/>
        </w:rPr>
        <w:t>第六章 采购合同</w:t>
      </w:r>
    </w:p>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b/>
          <w:bCs/>
          <w:sz w:val="24"/>
          <w:szCs w:val="24"/>
        </w:rPr>
        <w:t>湖南科技学院</w:t>
      </w:r>
      <w:r>
        <w:rPr>
          <w:rFonts w:hint="eastAsia" w:ascii="仿宋" w:hAnsi="仿宋" w:eastAsia="仿宋" w:cs="仿宋"/>
          <w:b/>
          <w:bCs/>
          <w:sz w:val="24"/>
          <w:szCs w:val="24"/>
          <w:lang w:eastAsia="zh-CN"/>
        </w:rPr>
        <w:t>实训大楼监控建设项目</w:t>
      </w:r>
      <w:r>
        <w:rPr>
          <w:rFonts w:hint="eastAsia" w:ascii="仿宋" w:hAnsi="仿宋" w:eastAsia="仿宋" w:cs="仿宋"/>
          <w:b/>
          <w:bCs/>
          <w:sz w:val="24"/>
          <w:szCs w:val="24"/>
        </w:rPr>
        <w:t xml:space="preserve">采购合同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sz w:val="24"/>
        </w:rPr>
      </w:pPr>
      <w:r>
        <w:rPr>
          <w:rFonts w:hint="eastAsia" w:ascii="仿宋" w:hAnsi="仿宋" w:eastAsia="仿宋" w:cs="仿宋"/>
          <w:sz w:val="24"/>
          <w:szCs w:val="24"/>
        </w:rPr>
        <w:t xml:space="preserve">          </w:t>
      </w:r>
      <w:r>
        <w:rPr>
          <w:rFonts w:hint="eastAsia" w:ascii="仿宋_GB2312" w:hAnsi="宋体" w:eastAsia="仿宋_GB2312"/>
          <w:sz w:val="24"/>
          <w:lang w:val="en-US" w:eastAsia="zh-CN"/>
        </w:rPr>
        <w:t xml:space="preserve">                              </w:t>
      </w:r>
      <w:r>
        <w:rPr>
          <w:rFonts w:hint="eastAsia" w:ascii="仿宋_GB2312" w:hAnsi="宋体" w:eastAsia="仿宋_GB2312"/>
          <w:sz w:val="24"/>
        </w:rPr>
        <w:t>采购</w:t>
      </w:r>
      <w:r>
        <w:rPr>
          <w:rFonts w:hint="eastAsia" w:ascii="仿宋_GB2312" w:hAnsi="宋体" w:eastAsia="仿宋_GB2312"/>
          <w:sz w:val="24"/>
          <w:lang w:val="en-US" w:eastAsia="zh-CN"/>
        </w:rPr>
        <w:t>合同</w:t>
      </w:r>
      <w:r>
        <w:rPr>
          <w:rFonts w:hint="eastAsia" w:ascii="仿宋_GB2312" w:hAnsi="宋体" w:eastAsia="仿宋_GB2312"/>
          <w:sz w:val="24"/>
        </w:rPr>
        <w:t>编号：</w:t>
      </w:r>
      <w:r>
        <w:rPr>
          <w:rFonts w:hint="eastAsia" w:ascii="仿宋_GB2312" w:eastAsia="仿宋_GB2312"/>
          <w:sz w:val="24"/>
          <w:u w:val="single"/>
        </w:rPr>
        <w:t xml:space="preserve">           </w:t>
      </w:r>
      <w:r>
        <w:rPr>
          <w:rFonts w:hint="eastAsia" w:ascii="仿宋_GB2312" w:hAnsi="宋体" w:eastAsia="仿宋_GB2312"/>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eastAsia="仿宋_GB2312"/>
          <w:sz w:val="24"/>
        </w:rPr>
      </w:pPr>
      <w:r>
        <w:rPr>
          <w:rFonts w:hint="eastAsia" w:ascii="仿宋_GB2312" w:eastAsia="仿宋_GB2312"/>
          <w:sz w:val="24"/>
        </w:rPr>
        <w:t>采购人（全称）：</w:t>
      </w:r>
      <w:r>
        <w:rPr>
          <w:rFonts w:hint="eastAsia" w:ascii="仿宋_GB2312" w:eastAsia="仿宋_GB2312"/>
          <w:sz w:val="24"/>
          <w:u w:val="single"/>
        </w:rPr>
        <w:t xml:space="preserve">                                  </w:t>
      </w:r>
      <w:r>
        <w:rPr>
          <w:rFonts w:hint="eastAsia" w:ascii="仿宋_GB2312" w:eastAsia="仿宋_GB2312"/>
          <w:sz w:val="24"/>
        </w:rPr>
        <w:t>（甲方）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eastAsia="仿宋_GB2312"/>
          <w:sz w:val="24"/>
        </w:rPr>
      </w:pPr>
      <w:r>
        <w:rPr>
          <w:rFonts w:hint="eastAsia" w:ascii="仿宋_GB2312" w:eastAsia="仿宋_GB2312"/>
          <w:sz w:val="24"/>
        </w:rPr>
        <w:t>供应商（全称）：</w:t>
      </w:r>
      <w:r>
        <w:rPr>
          <w:rFonts w:hint="eastAsia" w:ascii="仿宋_GB2312" w:eastAsia="仿宋_GB2312"/>
          <w:sz w:val="24"/>
          <w:u w:val="single"/>
        </w:rPr>
        <w:t xml:space="preserve">                                  </w:t>
      </w:r>
      <w:r>
        <w:rPr>
          <w:rFonts w:hint="eastAsia" w:ascii="仿宋_GB2312" w:eastAsia="仿宋_GB2312"/>
          <w:sz w:val="24"/>
        </w:rPr>
        <w:t>（乙方）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rPr>
      </w:pPr>
      <w:r>
        <w:rPr>
          <w:rFonts w:hint="eastAsia" w:ascii="仿宋_GB2312" w:eastAsia="仿宋_GB2312"/>
          <w:sz w:val="24"/>
        </w:rPr>
        <w:t>为了保护甲、乙双方合法权益，根据《中华人民共和国</w:t>
      </w:r>
      <w:r>
        <w:rPr>
          <w:rFonts w:hint="eastAsia" w:ascii="仿宋_GB2312" w:eastAsia="仿宋_GB2312"/>
          <w:sz w:val="24"/>
          <w:lang w:val="en-US" w:eastAsia="zh-CN"/>
        </w:rPr>
        <w:t>民法典</w:t>
      </w:r>
      <w:r>
        <w:rPr>
          <w:rFonts w:hint="eastAsia" w:ascii="仿宋_GB2312" w:eastAsia="仿宋_GB2312"/>
          <w:sz w:val="24"/>
        </w:rPr>
        <w:t>》、《中华人民共和国政府采购法》及其他有关法律、法规、规章，双方签订本合同协议书。</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sz w:val="24"/>
          <w:lang w:val="en-US" w:eastAsia="zh-CN"/>
        </w:rPr>
      </w:pPr>
      <w:r>
        <w:rPr>
          <w:rFonts w:hint="eastAsia" w:ascii="仿宋_GB2312" w:eastAsia="仿宋_GB2312"/>
          <w:b/>
          <w:bCs/>
          <w:sz w:val="24"/>
          <w:lang w:val="en-US" w:eastAsia="zh-CN"/>
        </w:rPr>
        <w:t>一、项目信息</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rPr>
      </w:pPr>
      <w:r>
        <w:rPr>
          <w:rFonts w:hint="eastAsia" w:ascii="仿宋" w:hAnsi="仿宋" w:eastAsia="仿宋" w:cs="仿宋"/>
          <w:sz w:val="24"/>
          <w:szCs w:val="24"/>
        </w:rPr>
        <w:t>（1）采购方式：</w:t>
      </w:r>
      <w:r>
        <w:rPr>
          <w:rFonts w:hint="eastAsia" w:ascii="仿宋" w:hAnsi="仿宋" w:eastAsia="仿宋" w:cs="仿宋"/>
          <w:sz w:val="24"/>
          <w:szCs w:val="24"/>
          <w:u w:val="single"/>
        </w:rPr>
        <w:t xml:space="preserve">    公开招标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u w:val="single"/>
        </w:rPr>
      </w:pPr>
      <w:r>
        <w:rPr>
          <w:rFonts w:hint="eastAsia" w:ascii="仿宋" w:hAnsi="仿宋" w:eastAsia="仿宋" w:cs="仿宋"/>
          <w:sz w:val="24"/>
          <w:szCs w:val="24"/>
        </w:rPr>
        <w:t>（2）项目名称：</w:t>
      </w:r>
      <w:r>
        <w:rPr>
          <w:rFonts w:hint="eastAsia" w:ascii="仿宋" w:hAnsi="仿宋" w:eastAsia="仿宋" w:cs="仿宋"/>
          <w:sz w:val="24"/>
          <w:szCs w:val="24"/>
          <w:u w:val="single"/>
        </w:rPr>
        <w:t xml:space="preserve">    湖南科技学院</w:t>
      </w:r>
      <w:r>
        <w:rPr>
          <w:rFonts w:hint="eastAsia" w:ascii="仿宋" w:hAnsi="仿宋" w:eastAsia="仿宋" w:cs="仿宋"/>
          <w:sz w:val="24"/>
          <w:szCs w:val="24"/>
          <w:u w:val="single"/>
          <w:lang w:eastAsia="zh-CN"/>
        </w:rPr>
        <w:t>实训大楼监控建设项目</w:t>
      </w:r>
      <w:r>
        <w:rPr>
          <w:rFonts w:hint="eastAsia" w:ascii="仿宋" w:hAnsi="仿宋" w:eastAsia="仿宋" w:cs="仿宋"/>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二、合同金额：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1.合同金额： 小写：        ；大写：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2.具体标的：</w:t>
      </w:r>
    </w:p>
    <w:tbl>
      <w:tblPr>
        <w:tblStyle w:val="16"/>
        <w:tblpPr w:leftFromText="180" w:rightFromText="180" w:vertAnchor="text" w:horzAnchor="margin" w:tblpXSpec="center" w:tblpY="146"/>
        <w:tblW w:w="9227" w:type="dxa"/>
        <w:tblInd w:w="302" w:type="dxa"/>
        <w:tblLayout w:type="fixed"/>
        <w:tblCellMar>
          <w:top w:w="0" w:type="dxa"/>
          <w:left w:w="108" w:type="dxa"/>
          <w:bottom w:w="0" w:type="dxa"/>
          <w:right w:w="108" w:type="dxa"/>
        </w:tblCellMar>
      </w:tblPr>
      <w:tblGrid>
        <w:gridCol w:w="780"/>
        <w:gridCol w:w="1310"/>
        <w:gridCol w:w="1713"/>
        <w:gridCol w:w="1713"/>
        <w:gridCol w:w="1354"/>
        <w:gridCol w:w="871"/>
        <w:gridCol w:w="1486"/>
      </w:tblGrid>
      <w:tr>
        <w:tblPrEx>
          <w:tblCellMar>
            <w:top w:w="0" w:type="dxa"/>
            <w:left w:w="108" w:type="dxa"/>
            <w:bottom w:w="0" w:type="dxa"/>
            <w:right w:w="108" w:type="dxa"/>
          </w:tblCellMar>
        </w:tblPrEx>
        <w:trPr>
          <w:trHeight w:val="244"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131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货物名称</w:t>
            </w:r>
          </w:p>
        </w:tc>
        <w:tc>
          <w:tcPr>
            <w:tcW w:w="171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品牌</w:t>
            </w:r>
          </w:p>
        </w:tc>
        <w:tc>
          <w:tcPr>
            <w:tcW w:w="171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型号规格</w:t>
            </w:r>
          </w:p>
        </w:tc>
        <w:tc>
          <w:tcPr>
            <w:tcW w:w="13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单价（元）</w:t>
            </w:r>
          </w:p>
        </w:tc>
        <w:tc>
          <w:tcPr>
            <w:tcW w:w="87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w:t>
            </w:r>
          </w:p>
        </w:tc>
        <w:tc>
          <w:tcPr>
            <w:tcW w:w="148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r>
      <w:tr>
        <w:tblPrEx>
          <w:tblCellMar>
            <w:top w:w="0" w:type="dxa"/>
            <w:left w:w="108" w:type="dxa"/>
            <w:bottom w:w="0" w:type="dxa"/>
            <w:right w:w="108" w:type="dxa"/>
          </w:tblCellMar>
        </w:tblPrEx>
        <w:trPr>
          <w:trHeight w:val="46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310"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szCs w:val="21"/>
              </w:rPr>
            </w:pPr>
          </w:p>
        </w:tc>
        <w:tc>
          <w:tcPr>
            <w:tcW w:w="1713"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Cs w:val="21"/>
              </w:rPr>
            </w:pPr>
          </w:p>
        </w:tc>
        <w:tc>
          <w:tcPr>
            <w:tcW w:w="1713"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35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871" w:type="dxa"/>
            <w:tcBorders>
              <w:top w:val="nil"/>
              <w:left w:val="nil"/>
              <w:bottom w:val="single" w:color="auto" w:sz="4" w:space="0"/>
              <w:right w:val="single" w:color="auto" w:sz="4" w:space="0"/>
            </w:tcBorders>
            <w:noWrap/>
            <w:vAlign w:val="center"/>
          </w:tcPr>
          <w:p>
            <w:pPr>
              <w:widowControl/>
              <w:ind w:firstLine="315" w:firstLineChars="150"/>
              <w:rPr>
                <w:rFonts w:ascii="宋体" w:hAnsi="宋体" w:cs="宋体"/>
                <w:kern w:val="0"/>
                <w:szCs w:val="21"/>
              </w:rPr>
            </w:pPr>
          </w:p>
        </w:tc>
        <w:tc>
          <w:tcPr>
            <w:tcW w:w="1486"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35"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31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szCs w:val="21"/>
              </w:rPr>
            </w:pPr>
          </w:p>
        </w:tc>
        <w:tc>
          <w:tcPr>
            <w:tcW w:w="171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Cs w:val="21"/>
              </w:rPr>
            </w:pPr>
          </w:p>
        </w:tc>
        <w:tc>
          <w:tcPr>
            <w:tcW w:w="1713" w:type="dxa"/>
            <w:tcBorders>
              <w:top w:val="single" w:color="auto" w:sz="4" w:space="0"/>
              <w:left w:val="nil"/>
              <w:bottom w:val="single" w:color="auto" w:sz="4" w:space="0"/>
              <w:right w:val="single" w:color="auto" w:sz="4" w:space="0"/>
            </w:tcBorders>
            <w:noWrap/>
            <w:vAlign w:val="center"/>
          </w:tcPr>
          <w:p>
            <w:pPr>
              <w:jc w:val="center"/>
              <w:rPr>
                <w:rFonts w:cs="宋体"/>
                <w:szCs w:val="21"/>
              </w:rPr>
            </w:pPr>
          </w:p>
        </w:tc>
        <w:tc>
          <w:tcPr>
            <w:tcW w:w="13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87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48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35"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31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szCs w:val="21"/>
              </w:rPr>
            </w:pPr>
          </w:p>
        </w:tc>
        <w:tc>
          <w:tcPr>
            <w:tcW w:w="171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Cs w:val="21"/>
              </w:rPr>
            </w:pPr>
          </w:p>
        </w:tc>
        <w:tc>
          <w:tcPr>
            <w:tcW w:w="1713" w:type="dxa"/>
            <w:tcBorders>
              <w:top w:val="single" w:color="auto" w:sz="4" w:space="0"/>
              <w:left w:val="nil"/>
              <w:bottom w:val="single" w:color="auto" w:sz="4" w:space="0"/>
              <w:right w:val="single" w:color="auto" w:sz="4" w:space="0"/>
            </w:tcBorders>
            <w:noWrap/>
            <w:vAlign w:val="center"/>
          </w:tcPr>
          <w:p>
            <w:pPr>
              <w:jc w:val="center"/>
              <w:rPr>
                <w:rFonts w:cs="宋体"/>
                <w:szCs w:val="21"/>
              </w:rPr>
            </w:pPr>
          </w:p>
        </w:tc>
        <w:tc>
          <w:tcPr>
            <w:tcW w:w="13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87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48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35"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w:t>
            </w:r>
          </w:p>
        </w:tc>
        <w:tc>
          <w:tcPr>
            <w:tcW w:w="131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szCs w:val="21"/>
              </w:rPr>
            </w:pPr>
          </w:p>
        </w:tc>
        <w:tc>
          <w:tcPr>
            <w:tcW w:w="171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Cs w:val="21"/>
              </w:rPr>
            </w:pPr>
          </w:p>
        </w:tc>
        <w:tc>
          <w:tcPr>
            <w:tcW w:w="1713" w:type="dxa"/>
            <w:tcBorders>
              <w:top w:val="single" w:color="auto" w:sz="4" w:space="0"/>
              <w:left w:val="nil"/>
              <w:bottom w:val="single" w:color="auto" w:sz="4" w:space="0"/>
              <w:right w:val="single" w:color="auto" w:sz="4" w:space="0"/>
            </w:tcBorders>
            <w:noWrap/>
            <w:vAlign w:val="center"/>
          </w:tcPr>
          <w:p>
            <w:pPr>
              <w:jc w:val="center"/>
              <w:rPr>
                <w:rFonts w:cs="宋体"/>
                <w:szCs w:val="21"/>
              </w:rPr>
            </w:pPr>
          </w:p>
        </w:tc>
        <w:tc>
          <w:tcPr>
            <w:tcW w:w="13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87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48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35" w:hRule="atLeast"/>
        </w:trPr>
        <w:tc>
          <w:tcPr>
            <w:tcW w:w="2090" w:type="dxa"/>
            <w:gridSpan w:val="2"/>
            <w:tcBorders>
              <w:top w:val="single" w:color="auto" w:sz="4" w:space="0"/>
              <w:left w:val="single" w:color="auto" w:sz="4" w:space="0"/>
              <w:bottom w:val="single" w:color="auto" w:sz="4" w:space="0"/>
              <w:right w:val="single" w:color="auto" w:sz="4" w:space="0"/>
            </w:tcBorders>
            <w:noWrap/>
            <w:vAlign w:val="center"/>
          </w:tcPr>
          <w:p>
            <w:pPr>
              <w:widowControl/>
              <w:ind w:firstLine="630" w:firstLineChars="300"/>
              <w:jc w:val="both"/>
              <w:rPr>
                <w:rFonts w:hint="eastAsia" w:ascii="宋体" w:hAnsi="宋体" w:eastAsia="宋体" w:cs="宋体"/>
                <w:kern w:val="0"/>
                <w:szCs w:val="21"/>
                <w:lang w:val="en-US" w:eastAsia="zh-CN"/>
              </w:rPr>
            </w:pPr>
            <w:r>
              <w:rPr>
                <w:rFonts w:hint="eastAsia" w:ascii="宋体" w:hAnsi="宋体" w:cs="宋体"/>
                <w:kern w:val="0"/>
                <w:szCs w:val="21"/>
                <w:lang w:val="en-US" w:eastAsia="zh-CN"/>
              </w:rPr>
              <w:t>总  计</w:t>
            </w:r>
          </w:p>
        </w:tc>
        <w:tc>
          <w:tcPr>
            <w:tcW w:w="7137" w:type="dxa"/>
            <w:gridSpan w:val="5"/>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注：具体技术参数详见附件一，售后服务详见附件二。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 xml:space="preserve">3.合同价格形式：固定总（单）价合同    </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三、履行合同的时间、地点及方式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1.合同履行时间：</w:t>
      </w:r>
      <w:r>
        <w:rPr>
          <w:rFonts w:hint="eastAsia" w:ascii="仿宋_GB2312" w:eastAsia="仿宋_GB2312"/>
          <w:sz w:val="24"/>
          <w:highlight w:val="yellow"/>
          <w:lang w:val="en-US" w:eastAsia="zh-CN"/>
        </w:rPr>
        <w:t>从签订合同之日起10个工作日内</w:t>
      </w:r>
      <w:r>
        <w:rPr>
          <w:rFonts w:hint="eastAsia" w:ascii="仿宋_GB2312" w:eastAsia="仿宋_GB2312"/>
          <w:sz w:val="24"/>
          <w:lang w:val="en-US" w:eastAsia="zh-CN"/>
        </w:rPr>
        <w:t>，乙方须送货到甲方指定地点；</w:t>
      </w:r>
      <w:r>
        <w:rPr>
          <w:rFonts w:hint="eastAsia" w:ascii="仿宋_GB2312" w:eastAsia="仿宋_GB2312"/>
          <w:sz w:val="24"/>
          <w:highlight w:val="yellow"/>
          <w:lang w:val="en-US" w:eastAsia="zh-CN"/>
        </w:rPr>
        <w:t>货到10个工作日</w:t>
      </w:r>
      <w:r>
        <w:rPr>
          <w:rFonts w:hint="eastAsia" w:ascii="仿宋_GB2312" w:eastAsia="仿宋_GB2312"/>
          <w:sz w:val="24"/>
          <w:lang w:val="en-US" w:eastAsia="zh-CN"/>
        </w:rPr>
        <w:t>内完成标书中要求的调试、测试和对接并向甲方申请验收。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2.合同履行地点：甲方指定地点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3.合同履行方式：乙方送货上门并负责保管、安装、调试直至验收合格。</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四、付款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1.乙方在申请付款前须开具增值税专用发票。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2.整体项目完成，经验收合格且甲方收到乙方提供的正式发票后</w:t>
      </w:r>
      <w:r>
        <w:rPr>
          <w:rFonts w:hint="eastAsia" w:ascii="仿宋_GB2312" w:eastAsia="仿宋_GB2312"/>
          <w:sz w:val="24"/>
          <w:u w:val="single"/>
          <w:lang w:val="en-US" w:eastAsia="zh-CN"/>
        </w:rPr>
        <w:t xml:space="preserve"> 30 </w:t>
      </w:r>
      <w:r>
        <w:rPr>
          <w:rFonts w:hint="eastAsia" w:ascii="仿宋_GB2312" w:eastAsia="仿宋_GB2312"/>
          <w:sz w:val="24"/>
          <w:lang w:val="en-US" w:eastAsia="zh-CN"/>
        </w:rPr>
        <w:t>日内支付合同总金额的</w:t>
      </w:r>
      <w:r>
        <w:rPr>
          <w:rFonts w:hint="eastAsia" w:ascii="仿宋_GB2312" w:eastAsia="仿宋_GB2312"/>
          <w:sz w:val="24"/>
          <w:u w:val="single"/>
          <w:lang w:val="en-US" w:eastAsia="zh-CN"/>
        </w:rPr>
        <w:t xml:space="preserve"> 95 </w:t>
      </w:r>
      <w:r>
        <w:rPr>
          <w:rFonts w:hint="eastAsia" w:ascii="仿宋_GB2312" w:eastAsia="仿宋_GB2312"/>
          <w:sz w:val="24"/>
          <w:lang w:val="en-US" w:eastAsia="zh-CN"/>
        </w:rPr>
        <w:t>%即</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元；剩余</w:t>
      </w:r>
      <w:r>
        <w:rPr>
          <w:rFonts w:hint="eastAsia" w:ascii="仿宋_GB2312" w:eastAsia="仿宋_GB2312"/>
          <w:sz w:val="24"/>
          <w:u w:val="single"/>
          <w:lang w:val="en-US" w:eastAsia="zh-CN"/>
        </w:rPr>
        <w:t xml:space="preserve"> 5 </w:t>
      </w:r>
      <w:r>
        <w:rPr>
          <w:rFonts w:hint="eastAsia" w:ascii="仿宋_GB2312" w:eastAsia="仿宋_GB2312"/>
          <w:sz w:val="24"/>
          <w:lang w:val="en-US" w:eastAsia="zh-CN"/>
        </w:rPr>
        <w:t>%即</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元作为质保金（</w:t>
      </w:r>
      <w:r>
        <w:rPr>
          <w:rFonts w:hint="eastAsia" w:ascii="仿宋_GB2312" w:eastAsia="仿宋_GB2312" w:cs="Times New Roman"/>
          <w:kern w:val="2"/>
          <w:sz w:val="24"/>
          <w:szCs w:val="24"/>
          <w:lang w:val="en-US" w:eastAsia="zh-CN" w:bidi="ar-SA"/>
        </w:rPr>
        <w:t>乙方</w:t>
      </w:r>
      <w:r>
        <w:rPr>
          <w:rFonts w:hint="eastAsia" w:ascii="仿宋_GB2312" w:hAnsi="Calibri" w:eastAsia="仿宋_GB2312" w:cs="Times New Roman"/>
          <w:kern w:val="2"/>
          <w:sz w:val="24"/>
          <w:szCs w:val="24"/>
          <w:lang w:val="en-US" w:eastAsia="zh-CN" w:bidi="ar-SA"/>
        </w:rPr>
        <w:t>可提供对等额度的</w:t>
      </w:r>
      <w:r>
        <w:rPr>
          <w:rFonts w:hint="eastAsia" w:ascii="仿宋_GB2312" w:eastAsia="仿宋_GB2312" w:cs="Times New Roman"/>
          <w:kern w:val="2"/>
          <w:sz w:val="24"/>
          <w:szCs w:val="24"/>
          <w:lang w:val="en-US" w:eastAsia="zh-CN" w:bidi="ar-SA"/>
        </w:rPr>
        <w:t>银行</w:t>
      </w:r>
      <w:r>
        <w:rPr>
          <w:rFonts w:hint="eastAsia" w:ascii="仿宋_GB2312" w:hAnsi="Calibri" w:eastAsia="仿宋_GB2312" w:cs="Times New Roman"/>
          <w:kern w:val="2"/>
          <w:sz w:val="24"/>
          <w:szCs w:val="24"/>
          <w:lang w:val="en-US" w:eastAsia="zh-CN" w:bidi="ar-SA"/>
        </w:rPr>
        <w:t>保函替代5％的质保金，电子卖场交易的项目统一以电子增信替代质保金</w:t>
      </w:r>
      <w:r>
        <w:rPr>
          <w:rFonts w:hint="eastAsia" w:ascii="仿宋_GB2312" w:eastAsia="仿宋_GB2312"/>
          <w:sz w:val="24"/>
          <w:lang w:val="en-US" w:eastAsia="zh-CN"/>
        </w:rPr>
        <w:t>），在甲方验收合格</w:t>
      </w:r>
      <w:r>
        <w:rPr>
          <w:rFonts w:hint="eastAsia" w:ascii="仿宋_GB2312" w:eastAsia="仿宋_GB2312"/>
          <w:sz w:val="24"/>
          <w:highlight w:val="yellow"/>
          <w:lang w:val="en-US" w:eastAsia="zh-CN"/>
        </w:rPr>
        <w:t>二</w:t>
      </w:r>
      <w:r>
        <w:rPr>
          <w:rFonts w:hint="eastAsia" w:ascii="仿宋_GB2312" w:eastAsia="仿宋_GB2312"/>
          <w:sz w:val="24"/>
          <w:lang w:val="en-US" w:eastAsia="zh-CN"/>
        </w:rPr>
        <w:t>年后如无质量问题，一次性无息付清（或解除保函效力）。</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五、履约保证金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1.本合同签订时，乙方应向甲方缴纳合同金额5%的履约金，即</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项目按期完成且经验收合格，履约质保金由甲方无息退还给乙方。非甲方原因乙方未在合同约定时间内供货或者申请验收，每拖延一天扣履约保证金10%。履约保证金扣完后甲方有权解除合同，且乙方由此产生的损失，甲方概不负责。</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六、违约责任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1.甲乙双方签订合同后，乙方在合同约定的时间内不能供货或申请验收，属乙方违约，甲方有权按照本合同第5条追究乙方的违约责任。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若乙方提供的产品或者产品的技术参数与合同约定明显不符，则视为乙方虚假投标。甲方视情节严重程度上报财政监督管理部门依法处理，同时，甲方有权解除合同、没收履约保证金并加处合同金额20%的违约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3.若乙方因安装、调试或对接不当导致验收不通过，应当在10日内整改并再次申请验收。第二次验收通过的，甲方仅没收履约保证金；第二次验收仍不能通过的，甲方有权解除合同、没收履约保证金并加处合同金额20%的违约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4.若乙方提供的产品存在不可预知的安全缺陷导致甲方发生安全事件，乙方应承担甲方的全部经济损失（含甲方维权发生的必要费用）。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5.若甲方逾期付款，则按贷款市场报价利率承担相应利息（不可抗拒力除外）。</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七、解决合同纠纷方式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首先通过双方协商解决，协商解决不成，则通过以下途径之一解决纠纷：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提请仲裁        ☑ 向甲方所在地人民法院提起诉讼</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八、组成合同的文件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本协议书与下列文件一起构成合同文件，如下述文件之间有任何抵触、矛盾或歧义，应按以下顺序解释：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2.成交通知书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3.响应文件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4.相应的国家标准、规范及有关技术文件，图纸。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5.其他合同文件</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九、其他特别约定</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仿宋_GB2312" w:eastAsia="仿宋_GB2312"/>
          <w:b/>
          <w:bCs/>
          <w:sz w:val="24"/>
          <w:lang w:val="en-US" w:eastAsia="zh-CN"/>
        </w:rPr>
      </w:pPr>
      <w:r>
        <w:rPr>
          <w:rFonts w:hint="eastAsia" w:ascii="仿宋_GB2312" w:eastAsia="仿宋_GB2312"/>
          <w:b/>
          <w:bCs/>
          <w:sz w:val="24"/>
          <w:lang w:val="en-US" w:eastAsia="zh-CN"/>
        </w:rPr>
        <w:t>十、合同生效及文本</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1、本合同自合同签订日期起生效。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2、本合同一式五份，甲方执三份，乙方执两份，均具有同等法律效力。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合同订立时间：      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合同订立地点：        湖南科技学院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甲      方：（公章）                    乙      方：（公章）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法定代表人：                            法定代表人：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委托代理人：                            委托代理人：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电      话：                            电       话：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 xml:space="preserve">传      真：                            传       真：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                                        开 户 银 行：                                                   </w:t>
      </w:r>
    </w:p>
    <w:p>
      <w:pPr>
        <w:spacing w:line="440" w:lineRule="exact"/>
        <w:ind w:firstLine="5040" w:firstLineChars="2100"/>
        <w:rPr>
          <w:rFonts w:hint="eastAsia" w:ascii="仿宋_GB2312" w:eastAsia="仿宋_GB2312"/>
          <w:sz w:val="24"/>
          <w:lang w:val="en-US" w:eastAsia="zh-CN"/>
        </w:rPr>
      </w:pPr>
      <w:r>
        <w:rPr>
          <w:rFonts w:hint="eastAsia" w:ascii="仿宋_GB2312" w:eastAsia="仿宋_GB2312"/>
          <w:sz w:val="24"/>
          <w:lang w:val="en-US" w:eastAsia="zh-CN"/>
        </w:rPr>
        <w:t xml:space="preserve">  帐       号： </w:t>
      </w:r>
    </w:p>
    <w:p>
      <w:pPr>
        <w:pStyle w:val="2"/>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cs="宋体"/>
          <w:b/>
          <w:kern w:val="0"/>
          <w:sz w:val="32"/>
          <w:szCs w:val="32"/>
          <w:lang w:val="en-US" w:eastAsia="zh-CN" w:bidi="ar-SA"/>
        </w:rPr>
      </w:pPr>
      <w:r>
        <w:rPr>
          <w:rFonts w:hint="eastAsia" w:ascii="仿宋" w:hAnsi="仿宋" w:eastAsia="仿宋"/>
          <w:b/>
          <w:sz w:val="32"/>
          <w:szCs w:val="32"/>
          <w:shd w:val="clear" w:color="auto" w:fill="auto"/>
          <w:lang w:eastAsia="zh-CN"/>
        </w:rPr>
        <w:t>第七章</w:t>
      </w:r>
      <w:r>
        <w:rPr>
          <w:rFonts w:hint="eastAsia" w:ascii="仿宋" w:hAnsi="仿宋" w:eastAsia="仿宋"/>
          <w:b/>
          <w:sz w:val="32"/>
          <w:szCs w:val="32"/>
          <w:shd w:val="clear" w:color="auto" w:fill="auto"/>
          <w:lang w:val="en-US" w:eastAsia="zh-CN"/>
        </w:rPr>
        <w:t xml:space="preserve"> </w:t>
      </w:r>
      <w:r>
        <w:rPr>
          <w:rFonts w:hint="eastAsia" w:ascii="仿宋" w:hAnsi="仿宋" w:eastAsia="仿宋" w:cs="宋体"/>
          <w:b/>
          <w:kern w:val="0"/>
          <w:sz w:val="32"/>
          <w:szCs w:val="32"/>
          <w:lang w:val="en-US" w:eastAsia="zh-CN" w:bidi="ar-SA"/>
        </w:rPr>
        <w:t>投标人资格证明材料</w:t>
      </w:r>
    </w:p>
    <w:p>
      <w:pPr>
        <w:pStyle w:val="6"/>
        <w:jc w:val="both"/>
        <w:rPr>
          <w:rFonts w:hint="eastAsia" w:ascii="黑体" w:hAnsi="黑体" w:eastAsia="黑体" w:cs="黑体"/>
          <w:sz w:val="28"/>
          <w:szCs w:val="28"/>
          <w:lang w:val="en-US" w:eastAsia="zh-CN"/>
        </w:rPr>
      </w:pPr>
      <w:bookmarkStart w:id="3" w:name="_Toc37171833"/>
    </w:p>
    <w:p>
      <w:pPr>
        <w:pStyle w:val="6"/>
        <w:ind w:firstLine="1124" w:firstLineChars="40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一、营业执照复印件</w:t>
      </w:r>
    </w:p>
    <w:p>
      <w:pPr>
        <w:pStyle w:val="6"/>
        <w:ind w:firstLine="1124" w:firstLineChars="400"/>
        <w:jc w:val="both"/>
        <w:rPr>
          <w:rFonts w:hint="eastAsia" w:ascii="黑体" w:hAnsi="黑体" w:eastAsia="黑体" w:cs="黑体"/>
          <w:sz w:val="28"/>
          <w:szCs w:val="28"/>
          <w:lang w:eastAsia="zh-CN"/>
        </w:rPr>
      </w:pPr>
    </w:p>
    <w:p>
      <w:pPr>
        <w:pStyle w:val="6"/>
        <w:ind w:firstLine="1124" w:firstLineChars="400"/>
        <w:jc w:val="both"/>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3"/>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position w:val="-4"/>
          <w:sz w:val="24"/>
          <w:szCs w:val="24"/>
        </w:rPr>
      </w:pPr>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11"/>
        <w:adjustRightInd w:val="0"/>
        <w:snapToGrid w:val="0"/>
        <w:spacing w:beforeLines="5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4" w:name="_Toc37171834"/>
    </w:p>
    <w:p>
      <w:pPr>
        <w:pStyle w:val="6"/>
        <w:ind w:firstLine="3092" w:firstLineChars="1100"/>
        <w:jc w:val="both"/>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4"/>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11"/>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rPr>
          <w:rFonts w:hint="eastAsia"/>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keepNext w:val="0"/>
        <w:keepLines w:val="0"/>
        <w:pageBreakBefore w:val="0"/>
        <w:kinsoku/>
        <w:wordWrap/>
        <w:overflowPunct/>
        <w:topLinePunct w:val="0"/>
        <w:autoSpaceDE/>
        <w:autoSpaceDN/>
        <w:bidi w:val="0"/>
        <w:adjustRightInd w:val="0"/>
        <w:snapToGrid w:val="0"/>
        <w:spacing w:line="500" w:lineRule="exact"/>
        <w:jc w:val="both"/>
        <w:textAlignment w:val="auto"/>
        <w:outlineLvl w:val="2"/>
        <w:rPr>
          <w:rFonts w:hint="eastAsia" w:ascii="黑体" w:hAnsi="黑体" w:eastAsia="黑体" w:cs="黑体"/>
          <w:b/>
          <w:bCs/>
          <w:kern w:val="2"/>
          <w:sz w:val="30"/>
          <w:szCs w:val="30"/>
          <w:lang w:val="en-US" w:eastAsia="zh-CN" w:bidi="ar-SA"/>
        </w:rPr>
      </w:pPr>
      <w:bookmarkStart w:id="5" w:name="_Toc453759156"/>
    </w:p>
    <w:p>
      <w:pPr>
        <w:pStyle w:val="2"/>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五、参加本次采购活动前三年内在经营活动中没有重大违法记录的书面声明（格式）</w:t>
      </w:r>
      <w:bookmarkEnd w:id="5"/>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rPr>
          <w:rFonts w:hint="default"/>
          <w:u w:val="none"/>
          <w:lang w:val="en-US"/>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5"/>
        <w:ind w:firstLine="2570" w:firstLineChars="800"/>
        <w:rPr>
          <w:rFonts w:hint="eastAsia" w:ascii="仿宋" w:hAnsi="仿宋" w:eastAsia="仿宋" w:cs="仿宋"/>
          <w:b/>
          <w:bCs/>
          <w:color w:val="000000"/>
          <w:kern w:val="2"/>
          <w:sz w:val="32"/>
          <w:szCs w:val="32"/>
          <w:lang w:val="en-US" w:eastAsia="zh-CN" w:bidi="ar-SA"/>
        </w:rPr>
      </w:pPr>
      <w:bookmarkStart w:id="6" w:name="_Toc4755744"/>
      <w:r>
        <w:rPr>
          <w:rFonts w:hint="eastAsia" w:ascii="仿宋" w:hAnsi="仿宋" w:eastAsia="仿宋" w:cs="仿宋"/>
          <w:b/>
          <w:bCs/>
          <w:color w:val="000000"/>
          <w:kern w:val="2"/>
          <w:sz w:val="32"/>
          <w:szCs w:val="32"/>
          <w:lang w:val="en-US" w:eastAsia="zh-CN" w:bidi="ar-SA"/>
        </w:rPr>
        <w:t>第八章、投标保证金</w:t>
      </w:r>
      <w:bookmarkEnd w:id="6"/>
    </w:p>
    <w:p>
      <w:pPr>
        <w:spacing w:line="720" w:lineRule="exact"/>
        <w:jc w:val="center"/>
        <w:rPr>
          <w:rFonts w:hint="eastAsia" w:ascii="仿宋" w:hAnsi="仿宋" w:eastAsia="仿宋" w:cs="仿宋"/>
          <w:color w:val="000000"/>
          <w:sz w:val="36"/>
          <w:szCs w:val="36"/>
          <w:lang w:eastAsia="zh-CN"/>
        </w:rPr>
      </w:pPr>
      <w:r>
        <w:rPr>
          <w:rFonts w:hint="eastAsia" w:ascii="仿宋" w:hAnsi="仿宋" w:eastAsia="仿宋" w:cs="仿宋"/>
          <w:color w:val="000000"/>
          <w:sz w:val="36"/>
          <w:szCs w:val="36"/>
        </w:rPr>
        <w:t>投标保证承诺</w:t>
      </w:r>
      <w:r>
        <w:rPr>
          <w:rFonts w:hint="eastAsia" w:ascii="仿宋" w:hAnsi="仿宋" w:eastAsia="仿宋" w:cs="仿宋"/>
          <w:color w:val="000000"/>
          <w:sz w:val="36"/>
          <w:szCs w:val="36"/>
          <w:lang w:eastAsia="zh-CN"/>
        </w:rPr>
        <w:t>函</w:t>
      </w:r>
    </w:p>
    <w:p>
      <w:pPr>
        <w:spacing w:line="720" w:lineRule="exact"/>
        <w:jc w:val="center"/>
        <w:rPr>
          <w:rFonts w:hint="eastAsia" w:ascii="仿宋" w:hAnsi="仿宋" w:eastAsia="仿宋" w:cs="仿宋"/>
          <w:color w:val="000000"/>
          <w:sz w:val="36"/>
          <w:szCs w:val="36"/>
        </w:rPr>
      </w:pPr>
    </w:p>
    <w:p>
      <w:pPr>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（招标人名称）：</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经慎重研究，我公司</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（供应商名称，以下称“投标人”）决定于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年__月__日参与你方组织的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（项目名称、</w:t>
      </w:r>
      <w:r>
        <w:rPr>
          <w:rFonts w:hint="eastAsia" w:ascii="仿宋" w:hAnsi="仿宋" w:eastAsia="仿宋" w:cs="仿宋"/>
          <w:color w:val="000000"/>
          <w:sz w:val="28"/>
          <w:szCs w:val="28"/>
          <w:lang w:eastAsia="zh-CN"/>
        </w:rPr>
        <w:t>项目</w:t>
      </w:r>
      <w:r>
        <w:rPr>
          <w:rFonts w:hint="eastAsia" w:ascii="仿宋" w:hAnsi="仿宋" w:eastAsia="仿宋" w:cs="仿宋"/>
          <w:color w:val="000000"/>
          <w:sz w:val="28"/>
          <w:szCs w:val="28"/>
        </w:rPr>
        <w:t>编号）的</w:t>
      </w:r>
      <w:r>
        <w:rPr>
          <w:rFonts w:hint="eastAsia" w:ascii="仿宋" w:hAnsi="仿宋" w:eastAsia="仿宋" w:cs="仿宋"/>
          <w:color w:val="000000"/>
          <w:sz w:val="28"/>
          <w:szCs w:val="28"/>
          <w:lang w:eastAsia="zh-CN"/>
        </w:rPr>
        <w:t>公开招标</w:t>
      </w:r>
      <w:r>
        <w:rPr>
          <w:rFonts w:hint="eastAsia" w:ascii="仿宋" w:hAnsi="仿宋" w:eastAsia="仿宋" w:cs="仿宋"/>
          <w:color w:val="000000"/>
          <w:sz w:val="28"/>
          <w:szCs w:val="28"/>
        </w:rPr>
        <w:t>采购活动，我方承诺严格按照《政府采购法》及其实施条例等法律法规和政策文件的要求，履行投标义务。</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如果发生不履行相关投标义务的行为，愿意接受法律法规和招标文件作出的处理。</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投标人名称（盖章）：</w:t>
      </w:r>
      <w:r>
        <w:rPr>
          <w:rFonts w:hint="eastAsia" w:ascii="仿宋" w:hAnsi="仿宋" w:eastAsia="仿宋" w:cs="仿宋"/>
          <w:color w:val="000000"/>
          <w:sz w:val="28"/>
          <w:szCs w:val="28"/>
          <w:u w:val="single"/>
        </w:rPr>
        <w:t xml:space="preserve">                         </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法定代表人（签字）：</w:t>
      </w:r>
      <w:r>
        <w:rPr>
          <w:rFonts w:hint="eastAsia" w:ascii="仿宋" w:hAnsi="仿宋" w:eastAsia="仿宋" w:cs="仿宋"/>
          <w:color w:val="000000"/>
          <w:sz w:val="28"/>
          <w:szCs w:val="28"/>
          <w:u w:val="single"/>
        </w:rPr>
        <w:t xml:space="preserve">                         </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地址：</w:t>
      </w:r>
      <w:r>
        <w:rPr>
          <w:rFonts w:hint="eastAsia" w:ascii="仿宋" w:hAnsi="仿宋" w:eastAsia="仿宋" w:cs="仿宋"/>
          <w:color w:val="000000"/>
          <w:sz w:val="28"/>
          <w:szCs w:val="28"/>
          <w:u w:val="single"/>
        </w:rPr>
        <w:t xml:space="preserve">                                      </w:t>
      </w:r>
    </w:p>
    <w:p>
      <w:pPr>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电话：</w:t>
      </w:r>
      <w:r>
        <w:rPr>
          <w:rFonts w:hint="eastAsia" w:ascii="仿宋" w:hAnsi="仿宋" w:eastAsia="仿宋" w:cs="仿宋"/>
          <w:color w:val="000000"/>
          <w:sz w:val="28"/>
          <w:szCs w:val="28"/>
          <w:u w:val="single"/>
        </w:rPr>
        <w:t xml:space="preserve">                                      </w:t>
      </w:r>
    </w:p>
    <w:p>
      <w:pPr>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传真：</w:t>
      </w:r>
      <w:r>
        <w:rPr>
          <w:rFonts w:hint="eastAsia" w:ascii="仿宋" w:hAnsi="仿宋" w:eastAsia="仿宋" w:cs="仿宋"/>
          <w:color w:val="000000"/>
          <w:sz w:val="28"/>
          <w:szCs w:val="28"/>
          <w:u w:val="single"/>
        </w:rPr>
        <w:t xml:space="preserve">                                      </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widowControl/>
        <w:spacing w:line="500" w:lineRule="exact"/>
        <w:jc w:val="center"/>
        <w:rPr>
          <w:rFonts w:hint="eastAsia" w:ascii="仿宋" w:hAnsi="仿宋" w:eastAsia="仿宋" w:cs="Times New Roman"/>
          <w:b/>
          <w:sz w:val="32"/>
          <w:szCs w:val="32"/>
        </w:rPr>
      </w:pPr>
      <w:r>
        <w:rPr>
          <w:rFonts w:hint="eastAsia" w:ascii="仿宋" w:hAnsi="仿宋" w:eastAsia="仿宋" w:cs="Times New Roman"/>
          <w:b/>
          <w:sz w:val="32"/>
          <w:szCs w:val="32"/>
          <w:lang w:val="en-US" w:eastAsia="zh-CN"/>
        </w:rPr>
        <w:t xml:space="preserve">第九章  </w:t>
      </w:r>
      <w:r>
        <w:rPr>
          <w:rFonts w:hint="eastAsia" w:ascii="仿宋" w:hAnsi="仿宋" w:eastAsia="仿宋" w:cs="Times New Roman"/>
          <w:b/>
          <w:sz w:val="32"/>
          <w:szCs w:val="32"/>
        </w:rPr>
        <w:t>技术/商务响应与偏离表</w:t>
      </w:r>
    </w:p>
    <w:p>
      <w:pPr>
        <w:adjustRightInd w:val="0"/>
        <w:snapToGrid w:val="0"/>
        <w:ind w:left="-88" w:leftChars="-42" w:firstLine="315" w:firstLineChars="150"/>
        <w:rPr>
          <w:rFonts w:hint="eastAsia" w:ascii="宋体" w:hAnsi="宋体"/>
          <w:szCs w:val="21"/>
          <w:u w:val="single"/>
        </w:rPr>
      </w:pPr>
    </w:p>
    <w:tbl>
      <w:tblPr>
        <w:tblStyle w:val="16"/>
        <w:tblpPr w:leftFromText="180" w:rightFromText="180" w:vertAnchor="text" w:horzAnchor="page" w:tblpX="1354" w:tblpY="280"/>
        <w:tblOverlap w:val="never"/>
        <w:tblW w:w="9503"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trPr>
        <w:tc>
          <w:tcPr>
            <w:tcW w:w="634"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序号</w:t>
            </w:r>
          </w:p>
        </w:tc>
        <w:tc>
          <w:tcPr>
            <w:tcW w:w="1685"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采购</w:t>
            </w:r>
          </w:p>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文件条目号</w:t>
            </w:r>
          </w:p>
        </w:tc>
        <w:tc>
          <w:tcPr>
            <w:tcW w:w="1948"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采购规格/商务条款</w:t>
            </w:r>
          </w:p>
        </w:tc>
        <w:tc>
          <w:tcPr>
            <w:tcW w:w="2600"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响应文件的规格/商务条款</w:t>
            </w:r>
          </w:p>
        </w:tc>
        <w:tc>
          <w:tcPr>
            <w:tcW w:w="1517"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响应与偏离</w:t>
            </w:r>
          </w:p>
        </w:tc>
        <w:tc>
          <w:tcPr>
            <w:tcW w:w="1119" w:type="dxa"/>
            <w:noWrap w:val="0"/>
            <w:vAlign w:val="center"/>
          </w:tcPr>
          <w:p>
            <w:pPr>
              <w:adjustRightInd w:val="0"/>
              <w:snapToGrid w:val="0"/>
              <w:ind w:left="-88" w:leftChars="-42"/>
              <w:jc w:val="center"/>
              <w:rPr>
                <w:rFonts w:hint="eastAsia" w:ascii="仿宋" w:hAnsi="仿宋" w:eastAsia="仿宋" w:cs="仿宋"/>
                <w:b/>
                <w:bCs w:val="0"/>
                <w:szCs w:val="21"/>
              </w:rPr>
            </w:pPr>
            <w:r>
              <w:rPr>
                <w:rFonts w:hint="eastAsia" w:ascii="仿宋" w:hAnsi="仿宋" w:eastAsia="仿宋" w:cs="仿宋"/>
                <w:b/>
                <w:bCs w:val="0"/>
                <w:szCs w:val="21"/>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34" w:type="dxa"/>
            <w:noWrap w:val="0"/>
            <w:vAlign w:val="top"/>
          </w:tcPr>
          <w:p>
            <w:pPr>
              <w:adjustRightInd w:val="0"/>
              <w:snapToGrid w:val="0"/>
              <w:ind w:left="-88" w:leftChars="-42"/>
              <w:jc w:val="center"/>
              <w:rPr>
                <w:rFonts w:hint="eastAsia" w:ascii="仿宋" w:hAnsi="仿宋" w:eastAsia="仿宋" w:cs="仿宋"/>
                <w:szCs w:val="21"/>
              </w:rPr>
            </w:pPr>
          </w:p>
        </w:tc>
        <w:tc>
          <w:tcPr>
            <w:tcW w:w="1685" w:type="dxa"/>
            <w:noWrap w:val="0"/>
            <w:vAlign w:val="center"/>
          </w:tcPr>
          <w:p>
            <w:pPr>
              <w:adjustRightInd w:val="0"/>
              <w:snapToGrid w:val="0"/>
              <w:ind w:left="-88" w:leftChars="-42"/>
              <w:jc w:val="center"/>
              <w:rPr>
                <w:rFonts w:hint="eastAsia" w:ascii="仿宋" w:hAnsi="仿宋" w:eastAsia="仿宋" w:cs="仿宋"/>
                <w:szCs w:val="21"/>
              </w:rPr>
            </w:pPr>
          </w:p>
        </w:tc>
        <w:tc>
          <w:tcPr>
            <w:tcW w:w="1948" w:type="dxa"/>
            <w:noWrap w:val="0"/>
            <w:vAlign w:val="center"/>
          </w:tcPr>
          <w:p>
            <w:pPr>
              <w:adjustRightInd w:val="0"/>
              <w:snapToGrid w:val="0"/>
              <w:ind w:left="-88" w:leftChars="-42"/>
              <w:jc w:val="center"/>
              <w:rPr>
                <w:rFonts w:hint="eastAsia" w:ascii="仿宋" w:hAnsi="仿宋" w:eastAsia="仿宋" w:cs="仿宋"/>
                <w:szCs w:val="21"/>
              </w:rPr>
            </w:pPr>
          </w:p>
        </w:tc>
        <w:tc>
          <w:tcPr>
            <w:tcW w:w="2600" w:type="dxa"/>
            <w:noWrap w:val="0"/>
            <w:vAlign w:val="center"/>
          </w:tcPr>
          <w:p>
            <w:pPr>
              <w:adjustRightInd w:val="0"/>
              <w:snapToGrid w:val="0"/>
              <w:ind w:left="-88" w:leftChars="-42"/>
              <w:jc w:val="center"/>
              <w:rPr>
                <w:rFonts w:hint="eastAsia" w:ascii="仿宋" w:hAnsi="仿宋" w:eastAsia="仿宋" w:cs="仿宋"/>
                <w:szCs w:val="21"/>
              </w:rPr>
            </w:pPr>
          </w:p>
        </w:tc>
        <w:tc>
          <w:tcPr>
            <w:tcW w:w="1517" w:type="dxa"/>
            <w:noWrap w:val="0"/>
            <w:vAlign w:val="center"/>
          </w:tcPr>
          <w:p>
            <w:pPr>
              <w:adjustRightInd w:val="0"/>
              <w:snapToGrid w:val="0"/>
              <w:ind w:left="-88" w:leftChars="-42"/>
              <w:jc w:val="center"/>
              <w:rPr>
                <w:rFonts w:hint="eastAsia" w:ascii="仿宋" w:hAnsi="仿宋" w:eastAsia="仿宋" w:cs="仿宋"/>
                <w:szCs w:val="21"/>
              </w:rPr>
            </w:pPr>
          </w:p>
        </w:tc>
        <w:tc>
          <w:tcPr>
            <w:tcW w:w="1119" w:type="dxa"/>
            <w:noWrap w:val="0"/>
            <w:vAlign w:val="center"/>
          </w:tcPr>
          <w:p>
            <w:pPr>
              <w:adjustRightInd w:val="0"/>
              <w:snapToGrid w:val="0"/>
              <w:ind w:left="-88" w:leftChars="-42"/>
              <w:jc w:val="center"/>
              <w:rPr>
                <w:rFonts w:hint="eastAsia" w:ascii="仿宋" w:hAnsi="仿宋" w:eastAsia="仿宋" w:cs="仿宋"/>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34" w:type="dxa"/>
            <w:noWrap w:val="0"/>
            <w:vAlign w:val="top"/>
          </w:tcPr>
          <w:p>
            <w:pPr>
              <w:adjustRightInd w:val="0"/>
              <w:snapToGrid w:val="0"/>
              <w:ind w:left="-88" w:leftChars="-42"/>
              <w:jc w:val="center"/>
              <w:rPr>
                <w:rFonts w:hint="eastAsia" w:ascii="仿宋" w:hAnsi="仿宋" w:eastAsia="仿宋" w:cs="仿宋"/>
                <w:szCs w:val="21"/>
              </w:rPr>
            </w:pPr>
          </w:p>
        </w:tc>
        <w:tc>
          <w:tcPr>
            <w:tcW w:w="1685" w:type="dxa"/>
            <w:noWrap w:val="0"/>
            <w:vAlign w:val="center"/>
          </w:tcPr>
          <w:p>
            <w:pPr>
              <w:adjustRightInd w:val="0"/>
              <w:snapToGrid w:val="0"/>
              <w:ind w:left="-88" w:leftChars="-42"/>
              <w:jc w:val="center"/>
              <w:rPr>
                <w:rFonts w:hint="eastAsia" w:ascii="仿宋" w:hAnsi="仿宋" w:eastAsia="仿宋" w:cs="仿宋"/>
                <w:szCs w:val="21"/>
              </w:rPr>
            </w:pPr>
          </w:p>
        </w:tc>
        <w:tc>
          <w:tcPr>
            <w:tcW w:w="1948" w:type="dxa"/>
            <w:noWrap w:val="0"/>
            <w:vAlign w:val="center"/>
          </w:tcPr>
          <w:p>
            <w:pPr>
              <w:adjustRightInd w:val="0"/>
              <w:snapToGrid w:val="0"/>
              <w:ind w:left="-88" w:leftChars="-42"/>
              <w:jc w:val="center"/>
              <w:rPr>
                <w:rFonts w:hint="eastAsia" w:ascii="仿宋" w:hAnsi="仿宋" w:eastAsia="仿宋" w:cs="仿宋"/>
                <w:szCs w:val="21"/>
              </w:rPr>
            </w:pPr>
          </w:p>
        </w:tc>
        <w:tc>
          <w:tcPr>
            <w:tcW w:w="2600" w:type="dxa"/>
            <w:noWrap w:val="0"/>
            <w:vAlign w:val="center"/>
          </w:tcPr>
          <w:p>
            <w:pPr>
              <w:adjustRightInd w:val="0"/>
              <w:snapToGrid w:val="0"/>
              <w:ind w:left="-88" w:leftChars="-42"/>
              <w:jc w:val="center"/>
              <w:rPr>
                <w:rFonts w:hint="eastAsia" w:ascii="仿宋" w:hAnsi="仿宋" w:eastAsia="仿宋" w:cs="仿宋"/>
                <w:szCs w:val="21"/>
              </w:rPr>
            </w:pPr>
          </w:p>
        </w:tc>
        <w:tc>
          <w:tcPr>
            <w:tcW w:w="1517" w:type="dxa"/>
            <w:noWrap w:val="0"/>
            <w:vAlign w:val="center"/>
          </w:tcPr>
          <w:p>
            <w:pPr>
              <w:adjustRightInd w:val="0"/>
              <w:snapToGrid w:val="0"/>
              <w:ind w:left="-88" w:leftChars="-42"/>
              <w:jc w:val="center"/>
              <w:rPr>
                <w:rFonts w:hint="eastAsia" w:ascii="仿宋" w:hAnsi="仿宋" w:eastAsia="仿宋" w:cs="仿宋"/>
                <w:szCs w:val="21"/>
              </w:rPr>
            </w:pPr>
          </w:p>
        </w:tc>
        <w:tc>
          <w:tcPr>
            <w:tcW w:w="1119" w:type="dxa"/>
            <w:noWrap w:val="0"/>
            <w:vAlign w:val="center"/>
          </w:tcPr>
          <w:p>
            <w:pPr>
              <w:adjustRightInd w:val="0"/>
              <w:snapToGrid w:val="0"/>
              <w:ind w:left="-88" w:leftChars="-42"/>
              <w:jc w:val="center"/>
              <w:rPr>
                <w:rFonts w:hint="eastAsia" w:ascii="仿宋" w:hAnsi="仿宋" w:eastAsia="仿宋" w:cs="仿宋"/>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34" w:type="dxa"/>
            <w:noWrap w:val="0"/>
            <w:vAlign w:val="top"/>
          </w:tcPr>
          <w:p>
            <w:pPr>
              <w:adjustRightInd w:val="0"/>
              <w:snapToGrid w:val="0"/>
              <w:ind w:left="-88" w:leftChars="-42"/>
              <w:jc w:val="center"/>
              <w:rPr>
                <w:rFonts w:hint="eastAsia" w:ascii="仿宋" w:hAnsi="仿宋" w:eastAsia="仿宋" w:cs="仿宋"/>
                <w:szCs w:val="21"/>
              </w:rPr>
            </w:pPr>
          </w:p>
        </w:tc>
        <w:tc>
          <w:tcPr>
            <w:tcW w:w="1685" w:type="dxa"/>
            <w:noWrap w:val="0"/>
            <w:vAlign w:val="center"/>
          </w:tcPr>
          <w:p>
            <w:pPr>
              <w:adjustRightInd w:val="0"/>
              <w:snapToGrid w:val="0"/>
              <w:ind w:left="-88" w:leftChars="-42"/>
              <w:jc w:val="center"/>
              <w:rPr>
                <w:rFonts w:hint="eastAsia" w:ascii="仿宋" w:hAnsi="仿宋" w:eastAsia="仿宋" w:cs="仿宋"/>
                <w:szCs w:val="21"/>
              </w:rPr>
            </w:pPr>
          </w:p>
        </w:tc>
        <w:tc>
          <w:tcPr>
            <w:tcW w:w="1948" w:type="dxa"/>
            <w:noWrap w:val="0"/>
            <w:vAlign w:val="center"/>
          </w:tcPr>
          <w:p>
            <w:pPr>
              <w:adjustRightInd w:val="0"/>
              <w:snapToGrid w:val="0"/>
              <w:ind w:left="-88" w:leftChars="-42"/>
              <w:jc w:val="center"/>
              <w:rPr>
                <w:rFonts w:hint="eastAsia" w:ascii="仿宋" w:hAnsi="仿宋" w:eastAsia="仿宋" w:cs="仿宋"/>
                <w:szCs w:val="21"/>
              </w:rPr>
            </w:pPr>
          </w:p>
        </w:tc>
        <w:tc>
          <w:tcPr>
            <w:tcW w:w="2600" w:type="dxa"/>
            <w:noWrap w:val="0"/>
            <w:vAlign w:val="center"/>
          </w:tcPr>
          <w:p>
            <w:pPr>
              <w:adjustRightInd w:val="0"/>
              <w:snapToGrid w:val="0"/>
              <w:ind w:left="-88" w:leftChars="-42"/>
              <w:jc w:val="center"/>
              <w:rPr>
                <w:rFonts w:hint="eastAsia" w:ascii="仿宋" w:hAnsi="仿宋" w:eastAsia="仿宋" w:cs="仿宋"/>
                <w:szCs w:val="21"/>
              </w:rPr>
            </w:pPr>
          </w:p>
        </w:tc>
        <w:tc>
          <w:tcPr>
            <w:tcW w:w="1517" w:type="dxa"/>
            <w:noWrap w:val="0"/>
            <w:vAlign w:val="center"/>
          </w:tcPr>
          <w:p>
            <w:pPr>
              <w:adjustRightInd w:val="0"/>
              <w:snapToGrid w:val="0"/>
              <w:ind w:left="-88" w:leftChars="-42"/>
              <w:jc w:val="center"/>
              <w:rPr>
                <w:rFonts w:hint="eastAsia" w:ascii="仿宋" w:hAnsi="仿宋" w:eastAsia="仿宋" w:cs="仿宋"/>
                <w:szCs w:val="21"/>
              </w:rPr>
            </w:pPr>
          </w:p>
        </w:tc>
        <w:tc>
          <w:tcPr>
            <w:tcW w:w="1119" w:type="dxa"/>
            <w:noWrap w:val="0"/>
            <w:vAlign w:val="center"/>
          </w:tcPr>
          <w:p>
            <w:pPr>
              <w:adjustRightInd w:val="0"/>
              <w:snapToGrid w:val="0"/>
              <w:ind w:left="-88" w:leftChars="-42"/>
              <w:jc w:val="center"/>
              <w:rPr>
                <w:rFonts w:hint="eastAsia" w:ascii="仿宋" w:hAnsi="仿宋" w:eastAsia="仿宋" w:cs="仿宋"/>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34" w:type="dxa"/>
            <w:noWrap w:val="0"/>
            <w:vAlign w:val="top"/>
          </w:tcPr>
          <w:p>
            <w:pPr>
              <w:adjustRightInd w:val="0"/>
              <w:snapToGrid w:val="0"/>
              <w:ind w:left="-88" w:leftChars="-42"/>
              <w:jc w:val="center"/>
              <w:rPr>
                <w:rFonts w:hint="eastAsia" w:ascii="仿宋" w:hAnsi="仿宋" w:eastAsia="仿宋" w:cs="仿宋"/>
                <w:szCs w:val="21"/>
              </w:rPr>
            </w:pPr>
          </w:p>
        </w:tc>
        <w:tc>
          <w:tcPr>
            <w:tcW w:w="1685" w:type="dxa"/>
            <w:noWrap w:val="0"/>
            <w:vAlign w:val="center"/>
          </w:tcPr>
          <w:p>
            <w:pPr>
              <w:adjustRightInd w:val="0"/>
              <w:snapToGrid w:val="0"/>
              <w:ind w:left="-88" w:leftChars="-42"/>
              <w:jc w:val="center"/>
              <w:rPr>
                <w:rFonts w:hint="eastAsia" w:ascii="仿宋" w:hAnsi="仿宋" w:eastAsia="仿宋" w:cs="仿宋"/>
                <w:szCs w:val="21"/>
              </w:rPr>
            </w:pPr>
          </w:p>
        </w:tc>
        <w:tc>
          <w:tcPr>
            <w:tcW w:w="1948" w:type="dxa"/>
            <w:noWrap w:val="0"/>
            <w:vAlign w:val="center"/>
          </w:tcPr>
          <w:p>
            <w:pPr>
              <w:adjustRightInd w:val="0"/>
              <w:snapToGrid w:val="0"/>
              <w:ind w:left="-88" w:leftChars="-42"/>
              <w:jc w:val="center"/>
              <w:rPr>
                <w:rFonts w:hint="eastAsia" w:ascii="仿宋" w:hAnsi="仿宋" w:eastAsia="仿宋" w:cs="仿宋"/>
                <w:szCs w:val="21"/>
              </w:rPr>
            </w:pPr>
          </w:p>
        </w:tc>
        <w:tc>
          <w:tcPr>
            <w:tcW w:w="2600" w:type="dxa"/>
            <w:noWrap w:val="0"/>
            <w:vAlign w:val="center"/>
          </w:tcPr>
          <w:p>
            <w:pPr>
              <w:adjustRightInd w:val="0"/>
              <w:snapToGrid w:val="0"/>
              <w:ind w:left="-88" w:leftChars="-42"/>
              <w:jc w:val="center"/>
              <w:rPr>
                <w:rFonts w:hint="eastAsia" w:ascii="仿宋" w:hAnsi="仿宋" w:eastAsia="仿宋" w:cs="仿宋"/>
                <w:szCs w:val="21"/>
              </w:rPr>
            </w:pPr>
          </w:p>
        </w:tc>
        <w:tc>
          <w:tcPr>
            <w:tcW w:w="1517" w:type="dxa"/>
            <w:noWrap w:val="0"/>
            <w:vAlign w:val="center"/>
          </w:tcPr>
          <w:p>
            <w:pPr>
              <w:adjustRightInd w:val="0"/>
              <w:snapToGrid w:val="0"/>
              <w:ind w:left="-88" w:leftChars="-42"/>
              <w:jc w:val="center"/>
              <w:rPr>
                <w:rFonts w:hint="eastAsia" w:ascii="仿宋" w:hAnsi="仿宋" w:eastAsia="仿宋" w:cs="仿宋"/>
                <w:szCs w:val="21"/>
              </w:rPr>
            </w:pPr>
          </w:p>
        </w:tc>
        <w:tc>
          <w:tcPr>
            <w:tcW w:w="1119" w:type="dxa"/>
            <w:noWrap w:val="0"/>
            <w:vAlign w:val="center"/>
          </w:tcPr>
          <w:p>
            <w:pPr>
              <w:adjustRightInd w:val="0"/>
              <w:snapToGrid w:val="0"/>
              <w:ind w:left="-88" w:leftChars="-42"/>
              <w:jc w:val="center"/>
              <w:rPr>
                <w:rFonts w:hint="eastAsia" w:ascii="仿宋" w:hAnsi="仿宋" w:eastAsia="仿宋" w:cs="仿宋"/>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34" w:type="dxa"/>
            <w:noWrap w:val="0"/>
            <w:vAlign w:val="top"/>
          </w:tcPr>
          <w:p>
            <w:pPr>
              <w:adjustRightInd w:val="0"/>
              <w:snapToGrid w:val="0"/>
              <w:ind w:left="-88" w:leftChars="-42"/>
              <w:jc w:val="center"/>
              <w:rPr>
                <w:rFonts w:hint="eastAsia" w:ascii="仿宋" w:hAnsi="仿宋" w:eastAsia="仿宋" w:cs="仿宋"/>
                <w:szCs w:val="21"/>
              </w:rPr>
            </w:pPr>
          </w:p>
        </w:tc>
        <w:tc>
          <w:tcPr>
            <w:tcW w:w="1685" w:type="dxa"/>
            <w:noWrap w:val="0"/>
            <w:vAlign w:val="center"/>
          </w:tcPr>
          <w:p>
            <w:pPr>
              <w:adjustRightInd w:val="0"/>
              <w:snapToGrid w:val="0"/>
              <w:ind w:left="-88" w:leftChars="-42"/>
              <w:jc w:val="center"/>
              <w:rPr>
                <w:rFonts w:hint="eastAsia" w:ascii="仿宋" w:hAnsi="仿宋" w:eastAsia="仿宋" w:cs="仿宋"/>
                <w:szCs w:val="21"/>
              </w:rPr>
            </w:pPr>
          </w:p>
        </w:tc>
        <w:tc>
          <w:tcPr>
            <w:tcW w:w="1948" w:type="dxa"/>
            <w:noWrap w:val="0"/>
            <w:vAlign w:val="center"/>
          </w:tcPr>
          <w:p>
            <w:pPr>
              <w:adjustRightInd w:val="0"/>
              <w:snapToGrid w:val="0"/>
              <w:ind w:left="-88" w:leftChars="-42"/>
              <w:jc w:val="center"/>
              <w:rPr>
                <w:rFonts w:hint="eastAsia" w:ascii="仿宋" w:hAnsi="仿宋" w:eastAsia="仿宋" w:cs="仿宋"/>
                <w:szCs w:val="21"/>
              </w:rPr>
            </w:pPr>
          </w:p>
        </w:tc>
        <w:tc>
          <w:tcPr>
            <w:tcW w:w="2600" w:type="dxa"/>
            <w:noWrap w:val="0"/>
            <w:vAlign w:val="center"/>
          </w:tcPr>
          <w:p>
            <w:pPr>
              <w:adjustRightInd w:val="0"/>
              <w:snapToGrid w:val="0"/>
              <w:ind w:left="-88" w:leftChars="-42"/>
              <w:jc w:val="center"/>
              <w:rPr>
                <w:rFonts w:hint="eastAsia" w:ascii="仿宋" w:hAnsi="仿宋" w:eastAsia="仿宋" w:cs="仿宋"/>
                <w:szCs w:val="21"/>
              </w:rPr>
            </w:pPr>
          </w:p>
        </w:tc>
        <w:tc>
          <w:tcPr>
            <w:tcW w:w="1517" w:type="dxa"/>
            <w:noWrap w:val="0"/>
            <w:vAlign w:val="center"/>
          </w:tcPr>
          <w:p>
            <w:pPr>
              <w:adjustRightInd w:val="0"/>
              <w:snapToGrid w:val="0"/>
              <w:ind w:left="-88" w:leftChars="-42"/>
              <w:jc w:val="center"/>
              <w:rPr>
                <w:rFonts w:hint="eastAsia" w:ascii="仿宋" w:hAnsi="仿宋" w:eastAsia="仿宋" w:cs="仿宋"/>
                <w:szCs w:val="21"/>
              </w:rPr>
            </w:pPr>
          </w:p>
        </w:tc>
        <w:tc>
          <w:tcPr>
            <w:tcW w:w="1119" w:type="dxa"/>
            <w:noWrap w:val="0"/>
            <w:vAlign w:val="center"/>
          </w:tcPr>
          <w:p>
            <w:pPr>
              <w:adjustRightInd w:val="0"/>
              <w:snapToGrid w:val="0"/>
              <w:ind w:left="-88" w:leftChars="-42"/>
              <w:jc w:val="center"/>
              <w:rPr>
                <w:rFonts w:hint="eastAsia" w:ascii="仿宋" w:hAnsi="仿宋" w:eastAsia="仿宋" w:cs="仿宋"/>
                <w:szCs w:val="21"/>
              </w:rPr>
            </w:pPr>
          </w:p>
        </w:tc>
      </w:tr>
    </w:tbl>
    <w:p>
      <w:pPr>
        <w:adjustRightInd w:val="0"/>
        <w:snapToGrid w:val="0"/>
        <w:spacing w:line="360" w:lineRule="auto"/>
        <w:ind w:left="-88" w:leftChars="-42"/>
        <w:rPr>
          <w:rFonts w:hint="eastAsia" w:ascii="FangSong_GB2312" w:hAnsi="宋体" w:eastAsia="FangSong_GB2312"/>
          <w:szCs w:val="21"/>
        </w:rPr>
      </w:pPr>
      <w:r>
        <w:rPr>
          <w:rFonts w:hint="eastAsia" w:ascii="FangSong_GB2312" w:hAnsi="宋体" w:eastAsia="FangSong_GB2312"/>
          <w:szCs w:val="21"/>
        </w:rPr>
        <w:t>说明：“响应与偏离”应注明“响应”或“偏离”。</w:t>
      </w:r>
    </w:p>
    <w:p>
      <w:pPr>
        <w:pStyle w:val="12"/>
        <w:adjustRightInd w:val="0"/>
        <w:snapToGrid w:val="0"/>
        <w:spacing w:line="360" w:lineRule="auto"/>
        <w:outlineLvl w:val="0"/>
        <w:rPr>
          <w:rFonts w:hint="eastAsia" w:ascii="宋体" w:hAnsi="宋体"/>
          <w:sz w:val="21"/>
          <w:szCs w:val="21"/>
        </w:rPr>
      </w:pPr>
    </w:p>
    <w:p>
      <w:pPr>
        <w:pStyle w:val="12"/>
        <w:adjustRightInd w:val="0"/>
        <w:snapToGrid w:val="0"/>
        <w:spacing w:line="360" w:lineRule="auto"/>
        <w:outlineLvl w:val="0"/>
        <w:rPr>
          <w:rFonts w:hint="eastAsia" w:ascii="仿宋" w:hAnsi="仿宋" w:eastAsia="仿宋" w:cs="仿宋"/>
          <w:sz w:val="24"/>
          <w:szCs w:val="24"/>
        </w:rPr>
      </w:pPr>
    </w:p>
    <w:p>
      <w:pPr>
        <w:pStyle w:val="12"/>
        <w:adjustRightInd w:val="0"/>
        <w:snapToGrid w:val="0"/>
        <w:spacing w:line="360" w:lineRule="auto"/>
        <w:outlineLvl w:val="0"/>
        <w:rPr>
          <w:rFonts w:hint="eastAsia" w:ascii="仿宋" w:hAnsi="仿宋" w:eastAsia="仿宋" w:cs="仿宋"/>
          <w:bCs/>
          <w:sz w:val="24"/>
          <w:szCs w:val="24"/>
        </w:rPr>
      </w:pPr>
      <w:r>
        <w:rPr>
          <w:rFonts w:hint="eastAsia" w:ascii="仿宋" w:hAnsi="仿宋" w:eastAsia="仿宋" w:cs="仿宋"/>
          <w:sz w:val="24"/>
          <w:szCs w:val="24"/>
        </w:rPr>
        <w:t>供应商名称：</w:t>
      </w:r>
      <w:r>
        <w:rPr>
          <w:rFonts w:hint="eastAsia" w:ascii="仿宋" w:hAnsi="仿宋" w:eastAsia="仿宋" w:cs="仿宋"/>
          <w:sz w:val="24"/>
          <w:szCs w:val="24"/>
          <w:u w:val="single"/>
        </w:rPr>
        <w:t xml:space="preserve">                   </w:t>
      </w:r>
    </w:p>
    <w:p>
      <w:pPr>
        <w:adjustRightInd w:val="0"/>
        <w:snapToGrid w:val="0"/>
        <w:spacing w:line="360" w:lineRule="auto"/>
        <w:outlineLvl w:val="0"/>
        <w:rPr>
          <w:rFonts w:hint="eastAsia" w:ascii="仿宋" w:hAnsi="仿宋" w:eastAsia="仿宋" w:cs="仿宋"/>
          <w:sz w:val="24"/>
          <w:szCs w:val="24"/>
        </w:rPr>
      </w:pPr>
    </w:p>
    <w:p>
      <w:pPr>
        <w:adjustRightInd w:val="0"/>
        <w:snapToGrid w:val="0"/>
        <w:spacing w:line="360" w:lineRule="auto"/>
        <w:outlineLvl w:val="0"/>
        <w:rPr>
          <w:rFonts w:hint="eastAsia" w:ascii="仿宋" w:hAnsi="仿宋" w:eastAsia="仿宋" w:cs="仿宋"/>
          <w:sz w:val="24"/>
          <w:szCs w:val="24"/>
        </w:rPr>
      </w:pPr>
      <w:r>
        <w:rPr>
          <w:rFonts w:hint="eastAsia" w:ascii="仿宋" w:hAnsi="仿宋" w:eastAsia="仿宋" w:cs="仿宋"/>
          <w:sz w:val="24"/>
          <w:szCs w:val="24"/>
        </w:rPr>
        <w:t>法定代表人或其委托代理人(签字)：</w:t>
      </w:r>
      <w:r>
        <w:rPr>
          <w:rFonts w:hint="eastAsia" w:ascii="仿宋" w:hAnsi="仿宋" w:eastAsia="仿宋" w:cs="仿宋"/>
          <w:sz w:val="24"/>
          <w:szCs w:val="24"/>
          <w:u w:val="single"/>
        </w:rPr>
        <w:t xml:space="preserve">                   </w:t>
      </w:r>
    </w:p>
    <w:p>
      <w:pPr>
        <w:adjustRightInd w:val="0"/>
        <w:snapToGrid w:val="0"/>
        <w:spacing w:line="360" w:lineRule="auto"/>
        <w:outlineLvl w:val="0"/>
        <w:rPr>
          <w:rFonts w:hint="eastAsia" w:ascii="仿宋" w:hAnsi="仿宋" w:eastAsia="仿宋" w:cs="仿宋"/>
          <w:sz w:val="24"/>
          <w:szCs w:val="24"/>
        </w:rPr>
      </w:pPr>
    </w:p>
    <w:p>
      <w:pPr>
        <w:adjustRightInd w:val="0"/>
        <w:snapToGrid w:val="0"/>
        <w:spacing w:line="360" w:lineRule="auto"/>
        <w:outlineLvl w:val="0"/>
        <w:rPr>
          <w:rFonts w:hint="eastAsia" w:ascii="仿宋" w:hAnsi="仿宋" w:eastAsia="仿宋" w:cs="仿宋"/>
          <w:sz w:val="24"/>
          <w:szCs w:val="24"/>
        </w:rPr>
      </w:pPr>
      <w:r>
        <w:rPr>
          <w:rFonts w:hint="eastAsia" w:ascii="仿宋" w:hAnsi="仿宋" w:eastAsia="仿宋" w:cs="仿宋"/>
          <w:sz w:val="24"/>
          <w:szCs w:val="24"/>
        </w:rPr>
        <w:t xml:space="preserve">日          期：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月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日</w:t>
      </w:r>
    </w:p>
    <w:p>
      <w:pPr>
        <w:pStyle w:val="4"/>
        <w:widowControl w:val="0"/>
        <w:numPr>
          <w:ilvl w:val="0"/>
          <w:numId w:val="0"/>
        </w:numPr>
        <w:jc w:val="both"/>
        <w:rPr>
          <w:rFonts w:hint="eastAsia" w:ascii="仿宋" w:hAnsi="仿宋" w:eastAsia="仿宋" w:cs="仿宋"/>
          <w:b/>
          <w:bCs w:val="0"/>
          <w:kern w:val="0"/>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2168" w:firstLineChars="600"/>
        <w:textAlignment w:val="auto"/>
        <w:rPr>
          <w:rFonts w:hint="eastAsia" w:ascii="仿宋" w:hAnsi="仿宋" w:eastAsia="仿宋" w:cs="仿宋"/>
          <w:b/>
          <w:bCs/>
          <w:sz w:val="36"/>
          <w:szCs w:val="36"/>
          <w:lang w:val="en-US" w:eastAsia="zh-CN"/>
        </w:rPr>
      </w:pPr>
    </w:p>
    <w:sectPr>
      <w:headerReference r:id="rId8" w:type="default"/>
      <w:footerReference r:id="rId9" w:type="default"/>
      <w:pgSz w:w="11906" w:h="16838"/>
      <w:pgMar w:top="1361" w:right="1797" w:bottom="1361" w:left="179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Dotum">
    <w:panose1 w:val="020B0600000101010101"/>
    <w:charset w:val="81"/>
    <w:family w:val="swiss"/>
    <w:pitch w:val="default"/>
    <w:sig w:usb0="B00002AF" w:usb1="69D77CFB" w:usb2="00000030" w:usb3="00000000" w:csb0="4008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FangSong_GB2312">
    <w:altName w:val="仿宋"/>
    <w:panose1 w:val="02010609060101010101"/>
    <w:charset w:val="86"/>
    <w:family w:val="modern"/>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180" w:hanging="180" w:hangingChars="100"/>
      <w:jc w:val="right"/>
      <w:rPr>
        <w:rFonts w:hint="eastAsia" w:eastAsia="楷体_GB2312"/>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rPr>
                        <w:rFonts w:hint="eastAsia"/>
                      </w:rPr>
                    </w:pP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YTA4NTY2YWE4NzVlZDVjYTkyMTlkOGQwNWI3MTMifQ=="/>
  </w:docVars>
  <w:rsids>
    <w:rsidRoot w:val="27933FCE"/>
    <w:rsid w:val="01996982"/>
    <w:rsid w:val="0239532B"/>
    <w:rsid w:val="02585BC6"/>
    <w:rsid w:val="04511D77"/>
    <w:rsid w:val="08243AF9"/>
    <w:rsid w:val="08F47382"/>
    <w:rsid w:val="09C65070"/>
    <w:rsid w:val="0A4D3E7A"/>
    <w:rsid w:val="0AE501D1"/>
    <w:rsid w:val="0AF67DB8"/>
    <w:rsid w:val="0B626D86"/>
    <w:rsid w:val="0E6B36B4"/>
    <w:rsid w:val="0F6E05DA"/>
    <w:rsid w:val="12983044"/>
    <w:rsid w:val="13206B53"/>
    <w:rsid w:val="13634A90"/>
    <w:rsid w:val="15AB00E4"/>
    <w:rsid w:val="15AE1D7A"/>
    <w:rsid w:val="1B7853AF"/>
    <w:rsid w:val="1C1665DB"/>
    <w:rsid w:val="1E6F6070"/>
    <w:rsid w:val="26951089"/>
    <w:rsid w:val="26B832EF"/>
    <w:rsid w:val="26EA1B18"/>
    <w:rsid w:val="277315B0"/>
    <w:rsid w:val="278739B6"/>
    <w:rsid w:val="27933FCE"/>
    <w:rsid w:val="2AE95CFB"/>
    <w:rsid w:val="2BF6510E"/>
    <w:rsid w:val="2C4469CA"/>
    <w:rsid w:val="2E03114E"/>
    <w:rsid w:val="310A4235"/>
    <w:rsid w:val="33304F0F"/>
    <w:rsid w:val="34494F3E"/>
    <w:rsid w:val="34796758"/>
    <w:rsid w:val="34870108"/>
    <w:rsid w:val="36041A44"/>
    <w:rsid w:val="37BF1D26"/>
    <w:rsid w:val="399D00E6"/>
    <w:rsid w:val="3D155679"/>
    <w:rsid w:val="3FAE2463"/>
    <w:rsid w:val="4262458F"/>
    <w:rsid w:val="43287A29"/>
    <w:rsid w:val="47473E98"/>
    <w:rsid w:val="4C74032B"/>
    <w:rsid w:val="5319133E"/>
    <w:rsid w:val="53773BA4"/>
    <w:rsid w:val="53944DCC"/>
    <w:rsid w:val="53F93A4C"/>
    <w:rsid w:val="58CE1DCD"/>
    <w:rsid w:val="5A131A19"/>
    <w:rsid w:val="5C2C0D47"/>
    <w:rsid w:val="5CB14AE6"/>
    <w:rsid w:val="5EA73B99"/>
    <w:rsid w:val="5F770469"/>
    <w:rsid w:val="62DF7FAD"/>
    <w:rsid w:val="65A537EC"/>
    <w:rsid w:val="6A516120"/>
    <w:rsid w:val="6A5C71FB"/>
    <w:rsid w:val="6D082325"/>
    <w:rsid w:val="6DAA64AD"/>
    <w:rsid w:val="6F5C7002"/>
    <w:rsid w:val="707F0E4A"/>
    <w:rsid w:val="72C2647B"/>
    <w:rsid w:val="765750A4"/>
    <w:rsid w:val="76E630C4"/>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paragraph" w:styleId="7">
    <w:name w:val="heading 4"/>
    <w:basedOn w:val="1"/>
    <w:next w:val="1"/>
    <w:qFormat/>
    <w:uiPriority w:val="9"/>
    <w:pPr>
      <w:adjustRightInd w:val="0"/>
      <w:snapToGrid w:val="0"/>
      <w:spacing w:line="360" w:lineRule="auto"/>
      <w:ind w:firstLine="482" w:firstLineChars="200"/>
      <w:outlineLvl w:val="3"/>
    </w:pPr>
    <w:rPr>
      <w:rFonts w:ascii="Dotum" w:hAnsi="Dotum" w:eastAsia="仿宋_GB2312"/>
      <w:b/>
      <w:kern w:val="0"/>
      <w:sz w:val="24"/>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8">
    <w:name w:val="annotation text"/>
    <w:basedOn w:val="1"/>
    <w:qFormat/>
    <w:uiPriority w:val="0"/>
    <w:pPr>
      <w:jc w:val="left"/>
    </w:pPr>
    <w:rPr>
      <w:kern w:val="0"/>
      <w:sz w:val="20"/>
    </w:rPr>
  </w:style>
  <w:style w:type="paragraph" w:styleId="9">
    <w:name w:val="Body Text"/>
    <w:basedOn w:val="1"/>
    <w:next w:val="1"/>
    <w:qFormat/>
    <w:uiPriority w:val="0"/>
    <w:pPr>
      <w:spacing w:after="120" w:afterLines="0"/>
    </w:pPr>
  </w:style>
  <w:style w:type="paragraph" w:styleId="10">
    <w:name w:val="Block Text"/>
    <w:basedOn w:val="1"/>
    <w:next w:val="7"/>
    <w:unhideWhenUsed/>
    <w:qFormat/>
    <w:uiPriority w:val="99"/>
    <w:pPr>
      <w:spacing w:after="120"/>
    </w:pPr>
  </w:style>
  <w:style w:type="paragraph" w:styleId="11">
    <w:name w:val="Plain Text"/>
    <w:basedOn w:val="1"/>
    <w:qFormat/>
    <w:uiPriority w:val="0"/>
    <w:rPr>
      <w:rFonts w:ascii="宋体" w:hAnsi="Courier New"/>
      <w:kern w:val="0"/>
      <w:sz w:val="20"/>
      <w:szCs w:val="21"/>
    </w:rPr>
  </w:style>
  <w:style w:type="paragraph" w:styleId="12">
    <w:name w:val="Date"/>
    <w:basedOn w:val="1"/>
    <w:next w:val="1"/>
    <w:qFormat/>
    <w:uiPriority w:val="0"/>
    <w:rPr>
      <w:sz w:val="24"/>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列出段落"/>
    <w:basedOn w:val="1"/>
    <w:qFormat/>
    <w:uiPriority w:val="0"/>
    <w:pPr>
      <w:ind w:firstLine="420" w:firstLineChars="200"/>
    </w:pPr>
  </w:style>
  <w:style w:type="paragraph" w:customStyle="1" w:styleId="20">
    <w:name w:val="Normal_0_1"/>
    <w:qFormat/>
    <w:uiPriority w:val="0"/>
    <w:rPr>
      <w:rFonts w:ascii="Times New Roman" w:hAnsi="Times New Roman" w:eastAsia="Times New Roman" w:cs="Times New Roman"/>
      <w:sz w:val="24"/>
      <w:szCs w:val="24"/>
      <w:lang w:val="en-US" w:eastAsia="zh-CN" w:bidi="ar-SA"/>
    </w:rPr>
  </w:style>
  <w:style w:type="character" w:customStyle="1" w:styleId="21">
    <w:name w:val="font11"/>
    <w:basedOn w:val="18"/>
    <w:qFormat/>
    <w:uiPriority w:val="0"/>
    <w:rPr>
      <w:rFonts w:hint="eastAsia" w:ascii="楷体" w:hAnsi="楷体" w:eastAsia="楷体" w:cs="楷体"/>
      <w:color w:val="FF0000"/>
      <w:sz w:val="24"/>
      <w:szCs w:val="24"/>
      <w:u w:val="none"/>
    </w:rPr>
  </w:style>
  <w:style w:type="character" w:customStyle="1" w:styleId="22">
    <w:name w:val="font21"/>
    <w:basedOn w:val="18"/>
    <w:qFormat/>
    <w:uiPriority w:val="0"/>
    <w:rPr>
      <w:rFonts w:hint="eastAsia" w:ascii="楷体" w:hAnsi="楷体" w:eastAsia="楷体" w:cs="楷体"/>
      <w:color w:val="000000"/>
      <w:sz w:val="24"/>
      <w:szCs w:val="24"/>
      <w:u w:val="none"/>
    </w:rPr>
  </w:style>
  <w:style w:type="character" w:customStyle="1" w:styleId="23">
    <w:name w:val="font01"/>
    <w:basedOn w:val="18"/>
    <w:qFormat/>
    <w:uiPriority w:val="0"/>
    <w:rPr>
      <w:rFonts w:hint="eastAsia" w:ascii="宋体" w:hAnsi="宋体" w:eastAsia="宋体" w:cs="宋体"/>
      <w:color w:val="000000"/>
      <w:sz w:val="24"/>
      <w:szCs w:val="24"/>
      <w:u w:val="none"/>
    </w:rPr>
  </w:style>
  <w:style w:type="paragraph" w:customStyle="1" w:styleId="24">
    <w:name w:val="Normal_0"/>
    <w:qFormat/>
    <w:uiPriority w:val="0"/>
    <w:rPr>
      <w:rFonts w:ascii="Times New Roman" w:hAnsi="Times New Roman" w:eastAsia="Times New Roman" w:cs="Times New Roman"/>
      <w:sz w:val="24"/>
      <w:szCs w:val="24"/>
      <w:lang w:bidi="ar-SA"/>
    </w:rPr>
  </w:style>
  <w:style w:type="paragraph" w:customStyle="1" w:styleId="25">
    <w:name w:val="Normal_1"/>
    <w:qFormat/>
    <w:uiPriority w:val="0"/>
    <w:rPr>
      <w:rFonts w:ascii="Times New Roman" w:hAnsi="Times New Roman" w:eastAsia="Times New Roman" w:cs="Times New Roman"/>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11" Target="../customXml/item1.xml" Type="http://schemas.openxmlformats.org/officeDocument/2006/relationships/customXml"/><Relationship Id="rId12" Target="numbering.xml" Type="http://schemas.openxmlformats.org/officeDocument/2006/relationships/numbering"/><Relationship Id="rId13"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header4.xml" Type="http://schemas.openxmlformats.org/officeDocument/2006/relationships/header"/><Relationship Id="rId9" Target="footer3.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10796</Words>
  <Characters>11949</Characters>
  <Lines>0</Lines>
  <Paragraphs>0</Paragraphs>
  <TotalTime>3</TotalTime>
  <ScaleCrop>false</ScaleCrop>
  <LinksUpToDate>false</LinksUpToDate>
  <CharactersWithSpaces>14239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cp:lastPrinted>2022-06-27T00:10:00Z</cp:lastPrinted>
  <dcterms:modified xsi:type="dcterms:W3CDTF">2022-06-27T06:53:28Z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F5F55386CBD5421AAB9A768BCC7472CB</vt:lpwstr>
  </property>
</Properties>
</file>