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snapToGrid w:val="0"/>
        <w:spacing w:line="360" w:lineRule="auto"/>
        <w:rPr>
          <w:rFonts w:ascii="仿宋" w:hAnsi="仿宋" w:eastAsia="仿宋"/>
        </w:rPr>
      </w:pPr>
    </w:p>
    <w:p>
      <w:pPr>
        <w:snapToGrid w:val="0"/>
        <w:spacing w:line="360" w:lineRule="auto"/>
        <w:rPr>
          <w:rFonts w:ascii="仿宋" w:hAnsi="仿宋" w:eastAsia="仿宋"/>
        </w:rPr>
      </w:pPr>
    </w:p>
    <w:p>
      <w:pPr>
        <w:pStyle w:val="24"/>
        <w:snapToGrid w:val="0"/>
        <w:spacing w:line="360" w:lineRule="auto"/>
        <w:rPr>
          <w:rFonts w:ascii="仿宋" w:hAnsi="仿宋" w:eastAsia="仿宋"/>
        </w:rPr>
      </w:pPr>
    </w:p>
    <w:p>
      <w:pPr>
        <w:widowControl/>
        <w:adjustRightInd w:val="0"/>
        <w:snapToGrid w:val="0"/>
        <w:spacing w:line="360" w:lineRule="auto"/>
        <w:jc w:val="center"/>
        <w:rPr>
          <w:rFonts w:ascii="仿宋" w:hAnsi="仿宋" w:eastAsia="仿宋"/>
          <w:b/>
          <w:bCs/>
          <w:color w:val="000000"/>
          <w:kern w:val="0"/>
          <w:sz w:val="72"/>
          <w:szCs w:val="72"/>
        </w:rPr>
      </w:pPr>
      <w:r>
        <w:rPr>
          <w:rFonts w:hint="eastAsia" w:ascii="方正粗黑宋简体" w:hAnsi="方正粗黑宋简体" w:eastAsia="方正粗黑宋简体" w:cs="方正粗黑宋简体"/>
          <w:b/>
          <w:bCs/>
          <w:color w:val="000000"/>
          <w:kern w:val="0"/>
          <w:sz w:val="72"/>
          <w:szCs w:val="72"/>
        </w:rPr>
        <w:t>湖 南 科 技 学 院</w:t>
      </w:r>
    </w:p>
    <w:p>
      <w:pPr>
        <w:widowControl/>
        <w:adjustRightInd w:val="0"/>
        <w:snapToGrid w:val="0"/>
        <w:spacing w:line="360" w:lineRule="auto"/>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napToGrid w:val="0"/>
        <w:spacing w:line="360" w:lineRule="auto"/>
        <w:jc w:val="center"/>
        <w:rPr>
          <w:rFonts w:ascii="仿宋" w:hAnsi="仿宋" w:eastAsia="仿宋" w:cs="黑体"/>
          <w:b/>
          <w:bCs/>
          <w:color w:val="000000"/>
          <w:kern w:val="0"/>
          <w:sz w:val="72"/>
          <w:szCs w:val="72"/>
        </w:rPr>
      </w:pPr>
      <w:r>
        <w:rPr>
          <w:rFonts w:hint="eastAsia" w:ascii="仿宋" w:hAnsi="仿宋" w:eastAsia="仿宋"/>
          <w:b/>
          <w:bCs/>
          <w:color w:val="000000"/>
          <w:kern w:val="0"/>
        </w:rPr>
        <w:t xml:space="preserve"> </w:t>
      </w:r>
      <w:r>
        <w:rPr>
          <w:rFonts w:hint="eastAsia" w:ascii="仿宋" w:hAnsi="仿宋" w:eastAsia="仿宋" w:cs="黑体"/>
          <w:b/>
          <w:bCs/>
          <w:color w:val="000000"/>
          <w:kern w:val="0"/>
          <w:sz w:val="72"/>
          <w:szCs w:val="72"/>
        </w:rPr>
        <w:t>招</w:t>
      </w:r>
    </w:p>
    <w:p>
      <w:pPr>
        <w:widowControl/>
        <w:adjustRightInd w:val="0"/>
        <w:snapToGrid w:val="0"/>
        <w:spacing w:line="360" w:lineRule="auto"/>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napToGrid w:val="0"/>
        <w:spacing w:line="360" w:lineRule="auto"/>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napToGrid w:val="0"/>
        <w:spacing w:line="360" w:lineRule="auto"/>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snapToGrid w:val="0"/>
        <w:spacing w:line="360" w:lineRule="auto"/>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pStyle w:val="10"/>
        <w:snapToGrid w:val="0"/>
        <w:spacing w:line="360" w:lineRule="auto"/>
        <w:rPr>
          <w:rFonts w:ascii="仿宋" w:hAnsi="仿宋" w:eastAsia="仿宋"/>
        </w:rPr>
      </w:pPr>
      <w:r>
        <w:rPr>
          <w:rFonts w:hint="eastAsia" w:ascii="仿宋" w:hAnsi="仿宋" w:eastAsia="仿宋"/>
          <w:b/>
          <w:bCs/>
          <w:sz w:val="30"/>
          <w:szCs w:val="30"/>
        </w:rPr>
        <w:t>采购项目：湖南科技学院学生公寓、学生食堂建设项目预算编制</w:t>
      </w:r>
    </w:p>
    <w:p>
      <w:pPr>
        <w:widowControl/>
        <w:adjustRightInd w:val="0"/>
        <w:snapToGrid w:val="0"/>
        <w:spacing w:line="360" w:lineRule="auto"/>
        <w:ind w:firstLine="1506" w:firstLineChars="500"/>
        <w:rPr>
          <w:rFonts w:ascii="仿宋" w:hAnsi="仿宋" w:eastAsia="仿宋"/>
          <w:b/>
          <w:bCs/>
          <w:sz w:val="30"/>
          <w:szCs w:val="30"/>
        </w:rPr>
      </w:pPr>
      <w:r>
        <w:rPr>
          <w:rFonts w:hint="eastAsia" w:ascii="仿宋" w:hAnsi="仿宋" w:eastAsia="仿宋"/>
          <w:b/>
          <w:bCs/>
          <w:sz w:val="30"/>
          <w:szCs w:val="30"/>
        </w:rPr>
        <w:t>项目编号: XKY-CG20230</w:t>
      </w:r>
      <w:r>
        <w:rPr>
          <w:rFonts w:hint="eastAsia" w:ascii="仿宋" w:hAnsi="仿宋" w:eastAsia="仿宋"/>
          <w:b/>
          <w:bCs/>
          <w:sz w:val="30"/>
          <w:szCs w:val="30"/>
          <w:lang w:val="en-US" w:eastAsia="zh-CN"/>
        </w:rPr>
        <w:t>51</w:t>
      </w:r>
      <w:r>
        <w:rPr>
          <w:rFonts w:hint="eastAsia" w:ascii="仿宋" w:hAnsi="仿宋" w:eastAsia="仿宋"/>
          <w:b/>
          <w:bCs/>
          <w:sz w:val="30"/>
          <w:szCs w:val="30"/>
        </w:rPr>
        <w:t xml:space="preserve">  </w:t>
      </w:r>
    </w:p>
    <w:p>
      <w:pPr>
        <w:widowControl/>
        <w:adjustRightInd w:val="0"/>
        <w:snapToGrid w:val="0"/>
        <w:spacing w:line="360" w:lineRule="auto"/>
        <w:rPr>
          <w:rFonts w:ascii="仿宋" w:hAnsi="仿宋" w:eastAsia="仿宋"/>
          <w:b/>
          <w:bCs/>
          <w:sz w:val="30"/>
          <w:szCs w:val="30"/>
        </w:rPr>
      </w:pPr>
      <w:r>
        <w:rPr>
          <w:rFonts w:hint="eastAsia" w:ascii="仿宋" w:hAnsi="仿宋" w:eastAsia="仿宋"/>
          <w:b/>
          <w:bCs/>
          <w:sz w:val="30"/>
          <w:szCs w:val="30"/>
        </w:rPr>
        <w:t xml:space="preserve">          采购形式：公开招标</w:t>
      </w:r>
    </w:p>
    <w:p>
      <w:pPr>
        <w:pStyle w:val="10"/>
        <w:snapToGrid w:val="0"/>
        <w:spacing w:line="360" w:lineRule="auto"/>
        <w:ind w:firstLine="1506" w:firstLineChars="500"/>
        <w:rPr>
          <w:rFonts w:ascii="仿宋" w:hAnsi="仿宋" w:eastAsia="仿宋"/>
          <w:b/>
          <w:bCs/>
          <w:sz w:val="30"/>
          <w:szCs w:val="30"/>
        </w:rPr>
      </w:pPr>
      <w:r>
        <w:rPr>
          <w:rFonts w:hint="eastAsia" w:ascii="仿宋" w:hAnsi="仿宋" w:eastAsia="仿宋"/>
          <w:b/>
          <w:bCs/>
          <w:sz w:val="30"/>
          <w:szCs w:val="30"/>
        </w:rPr>
        <w:t>采 购 人：湖南科技学院</w:t>
      </w:r>
    </w:p>
    <w:p>
      <w:pPr>
        <w:widowControl/>
        <w:adjustRightInd w:val="0"/>
        <w:snapToGrid w:val="0"/>
        <w:spacing w:line="360" w:lineRule="auto"/>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snapToGrid w:val="0"/>
        <w:spacing w:line="360" w:lineRule="auto"/>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snapToGrid w:val="0"/>
        <w:spacing w:line="360" w:lineRule="auto"/>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二○二三年十月</w:t>
      </w:r>
    </w:p>
    <w:p>
      <w:pPr>
        <w:widowControl/>
        <w:adjustRightInd w:val="0"/>
        <w:snapToGrid w:val="0"/>
        <w:spacing w:line="360" w:lineRule="auto"/>
        <w:ind w:firstLine="2570" w:firstLineChars="800"/>
        <w:rPr>
          <w:rFonts w:ascii="仿宋" w:hAnsi="仿宋" w:eastAsia="仿宋"/>
          <w:b/>
          <w:bCs/>
          <w:color w:val="000000"/>
          <w:kern w:val="0"/>
          <w:sz w:val="32"/>
          <w:szCs w:val="32"/>
        </w:rPr>
      </w:pPr>
      <w:r>
        <w:rPr>
          <w:rFonts w:hint="eastAsia" w:ascii="仿宋" w:hAnsi="仿宋" w:eastAsia="仿宋"/>
          <w:b/>
          <w:bCs/>
          <w:color w:val="000000"/>
          <w:kern w:val="0"/>
          <w:sz w:val="32"/>
          <w:szCs w:val="32"/>
        </w:rPr>
        <w:t>第一章 招标公告</w:t>
      </w:r>
    </w:p>
    <w:p>
      <w:pPr>
        <w:widowControl/>
        <w:adjustRightInd w:val="0"/>
        <w:snapToGrid w:val="0"/>
        <w:spacing w:line="360" w:lineRule="auto"/>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 xml:space="preserve"> </w:t>
      </w:r>
    </w:p>
    <w:p>
      <w:pPr>
        <w:widowControl/>
        <w:adjustRightInd w:val="0"/>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受湖南科技学院的委托，湖南科技学院采购中心对湖南科技学院学生公寓、学生食堂建设项目预算编制项目进行公开招标，现将采购事项公告如下：</w:t>
      </w:r>
    </w:p>
    <w:p>
      <w:pPr>
        <w:widowControl/>
        <w:adjustRightInd w:val="0"/>
        <w:snapToGrid w:val="0"/>
        <w:spacing w:line="360" w:lineRule="auto"/>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hint="eastAsia" w:ascii="仿宋" w:hAnsi="仿宋" w:eastAsia="仿宋" w:cs="仿宋"/>
          <w:color w:val="000000"/>
          <w:kern w:val="0"/>
          <w:sz w:val="24"/>
          <w:szCs w:val="24"/>
        </w:rPr>
        <w:t xml:space="preserve"> </w:t>
      </w:r>
    </w:p>
    <w:p>
      <w:pPr>
        <w:widowControl/>
        <w:adjustRightInd w:val="0"/>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1.采购项目：湖南科技学院学生公寓、学生食堂建设项目预算编制</w:t>
      </w:r>
      <w:bookmarkStart w:id="3" w:name="_GoBack"/>
      <w:bookmarkEnd w:id="3"/>
    </w:p>
    <w:p>
      <w:pPr>
        <w:widowControl/>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2.项目编号： XKY-CG2023051 </w:t>
      </w:r>
    </w:p>
    <w:p>
      <w:pPr>
        <w:widowControl/>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widowControl/>
        <w:adjustRightInd w:val="0"/>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4.采购总预算：</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4</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万元</w:t>
      </w:r>
    </w:p>
    <w:p>
      <w:pPr>
        <w:widowControl/>
        <w:adjustRightInd w:val="0"/>
        <w:snapToGrid w:val="0"/>
        <w:spacing w:line="360" w:lineRule="auto"/>
        <w:ind w:firstLine="482" w:firstLineChars="200"/>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w:t>
      </w:r>
      <w:r>
        <w:rPr>
          <w:rFonts w:hint="eastAsia" w:ascii="仿宋" w:hAnsi="仿宋" w:eastAsia="仿宋" w:cs="仿宋"/>
          <w:b/>
          <w:sz w:val="24"/>
          <w:szCs w:val="24"/>
        </w:rPr>
        <w:t>投标人的</w:t>
      </w:r>
      <w:r>
        <w:rPr>
          <w:rFonts w:hint="eastAsia" w:ascii="仿宋" w:hAnsi="仿宋" w:eastAsia="仿宋" w:cs="仿宋"/>
          <w:b/>
          <w:color w:val="000000"/>
          <w:kern w:val="0"/>
          <w:sz w:val="24"/>
          <w:szCs w:val="24"/>
        </w:rPr>
        <w:t>资格要求</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1.投标人的基本资格条件：</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（1）具有独立承担民事责任的能力；</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（2）具有良好的商业信誉和健全的财务会计制度；</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（3）具有履行合同所必需的设备和专业技术能力；</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（4）有依法缴纳税收和社会保障资金的良好记录；</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（5）参加本次采购活动前三年内，在经营活动中没有重大违法记录；</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（6）法律、行政法规规定的其他条件。</w:t>
      </w:r>
    </w:p>
    <w:p>
      <w:pPr>
        <w:pStyle w:val="15"/>
        <w:snapToGrid w:val="0"/>
        <w:spacing w:before="0" w:beforeAutospacing="0" w:after="0" w:afterAutospacing="0" w:line="360" w:lineRule="auto"/>
        <w:ind w:firstLine="480" w:firstLineChars="200"/>
        <w:rPr>
          <w:rFonts w:ascii="仿宋" w:hAnsi="仿宋" w:eastAsia="仿宋" w:cs="仿宋"/>
          <w:b/>
          <w:bCs/>
          <w:color w:val="000000"/>
        </w:rPr>
      </w:pPr>
      <w:r>
        <w:rPr>
          <w:rFonts w:hint="eastAsia" w:ascii="仿宋" w:hAnsi="仿宋" w:eastAsia="仿宋" w:cs="仿宋"/>
          <w:color w:val="000000"/>
        </w:rPr>
        <w:t>2.特定资格条件：</w:t>
      </w:r>
      <w:r>
        <w:rPr>
          <w:rFonts w:hint="eastAsia" w:ascii="仿宋" w:hAnsi="仿宋" w:eastAsia="仿宋" w:cs="仿宋"/>
          <w:b/>
          <w:bCs/>
          <w:color w:val="000000"/>
        </w:rPr>
        <w:t>参与投标供应商须具有建设行政部门颁发的工程造价咨询企业资质。</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3.单位负责人为同一人或者存在直接控股、管理关系的不同投标人，不得参加同一合同项下的采购活动。</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4.为本采购项目提供整体设计、规范编制或者项目管理、监理、检测、清标等服务的，不得再参加此项目的其他招标采购活动。</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5.列入失信被执行人、重大税收违法案件当事人名单，列入政府采购严重违法失信行为记录名单的，拒绝其参与本次采购活动。</w:t>
      </w:r>
    </w:p>
    <w:p>
      <w:pPr>
        <w:snapToGrid w:val="0"/>
        <w:spacing w:line="360" w:lineRule="auto"/>
        <w:ind w:firstLine="480" w:firstLineChars="200"/>
        <w:rPr>
          <w:rFonts w:ascii="仿宋" w:hAnsi="仿宋" w:eastAsia="仿宋" w:cs="仿宋"/>
          <w:b/>
          <w:color w:val="000000"/>
          <w:sz w:val="24"/>
          <w:szCs w:val="24"/>
        </w:rPr>
      </w:pPr>
      <w:r>
        <w:rPr>
          <w:rFonts w:hint="eastAsia" w:ascii="仿宋" w:hAnsi="仿宋" w:eastAsia="仿宋" w:cs="仿宋"/>
          <w:color w:val="000000"/>
          <w:kern w:val="0"/>
          <w:sz w:val="24"/>
          <w:szCs w:val="24"/>
        </w:rPr>
        <w:t>6.本次招标不接受联合体投标。</w:t>
      </w:r>
    </w:p>
    <w:p>
      <w:pPr>
        <w:widowControl/>
        <w:snapToGrid w:val="0"/>
        <w:spacing w:line="360" w:lineRule="auto"/>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三、招标文件的获取：</w:t>
      </w:r>
    </w:p>
    <w:p>
      <w:pPr>
        <w:snapToGrid w:val="0"/>
        <w:spacing w:line="360" w:lineRule="auto"/>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符合条件的投标人请在递交投标文件截止之日前，在湖南科技学院采购中心采购公告栏（http://cgzx.huse.cn/cggg/）下载招标文件。通过网络下载的招标文件与采购人备案的书面招标文件具有同等法律效力。</w:t>
      </w:r>
    </w:p>
    <w:p>
      <w:pPr>
        <w:widowControl/>
        <w:snapToGrid w:val="0"/>
        <w:spacing w:line="360" w:lineRule="auto"/>
        <w:ind w:firstLine="482" w:firstLineChars="200"/>
        <w:jc w:val="left"/>
        <w:rPr>
          <w:rFonts w:ascii="仿宋" w:hAnsi="仿宋" w:eastAsia="仿宋" w:cs="仿宋"/>
          <w:b/>
          <w:bCs/>
          <w:color w:val="000000"/>
          <w:sz w:val="24"/>
          <w:szCs w:val="24"/>
        </w:rPr>
      </w:pPr>
      <w:r>
        <w:rPr>
          <w:rFonts w:hint="eastAsia" w:ascii="仿宋" w:hAnsi="仿宋" w:eastAsia="仿宋" w:cs="仿宋"/>
          <w:b/>
          <w:color w:val="000000"/>
          <w:sz w:val="24"/>
          <w:szCs w:val="24"/>
        </w:rPr>
        <w:t>四、</w:t>
      </w:r>
      <w:r>
        <w:rPr>
          <w:rFonts w:hint="eastAsia" w:ascii="仿宋" w:hAnsi="仿宋" w:eastAsia="仿宋" w:cs="仿宋"/>
          <w:b/>
          <w:color w:val="000000"/>
          <w:kern w:val="0"/>
          <w:sz w:val="24"/>
          <w:szCs w:val="24"/>
        </w:rPr>
        <w:t>评标方式：</w:t>
      </w:r>
      <w:r>
        <w:rPr>
          <w:rFonts w:hint="eastAsia" w:ascii="仿宋" w:hAnsi="仿宋" w:eastAsia="仿宋" w:cs="仿宋"/>
          <w:bCs/>
          <w:color w:val="000000"/>
          <w:kern w:val="0"/>
          <w:sz w:val="24"/>
          <w:szCs w:val="24"/>
        </w:rPr>
        <w:t>综合评分法。</w:t>
      </w:r>
    </w:p>
    <w:p>
      <w:pPr>
        <w:widowControl/>
        <w:snapToGrid w:val="0"/>
        <w:spacing w:line="360" w:lineRule="auto"/>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五、投标保证金：</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val="en-US" w:eastAsia="zh-CN"/>
        </w:rPr>
        <w:t>4000</w:t>
      </w:r>
      <w:r>
        <w:rPr>
          <w:rFonts w:hint="eastAsia" w:ascii="仿宋" w:hAnsi="仿宋" w:eastAsia="仿宋" w:cs="仿宋"/>
          <w:color w:val="000000"/>
          <w:sz w:val="24"/>
          <w:szCs w:val="24"/>
        </w:rPr>
        <w:t>元。</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2.投标保证金的形式：以转账方式提交投标保证金（详见招标须知）。</w:t>
      </w:r>
    </w:p>
    <w:p>
      <w:pPr>
        <w:pStyle w:val="5"/>
        <w:widowControl/>
        <w:snapToGrid w:val="0"/>
        <w:spacing w:beforeAutospacing="0" w:afterAutospacing="0" w:line="360" w:lineRule="auto"/>
        <w:ind w:firstLine="482" w:firstLineChars="200"/>
        <w:rPr>
          <w:rFonts w:hint="default" w:ascii="仿宋" w:hAnsi="仿宋" w:eastAsia="仿宋" w:cs="仿宋"/>
          <w:bCs w:val="0"/>
          <w:color w:val="000000"/>
          <w:kern w:val="2"/>
          <w:sz w:val="24"/>
          <w:szCs w:val="24"/>
        </w:rPr>
      </w:pPr>
      <w:r>
        <w:rPr>
          <w:rFonts w:ascii="仿宋" w:hAnsi="仿宋" w:eastAsia="仿宋" w:cs="仿宋"/>
          <w:bCs w:val="0"/>
          <w:color w:val="000000"/>
          <w:kern w:val="2"/>
          <w:sz w:val="24"/>
          <w:szCs w:val="24"/>
        </w:rPr>
        <w:t>六、投标截止时间和开标时间及地点</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1.投标文件递交截止时间及开标时间：</w:t>
      </w:r>
      <w:r>
        <w:rPr>
          <w:rFonts w:hint="eastAsia" w:ascii="仿宋" w:hAnsi="仿宋" w:eastAsia="仿宋" w:cs="仿宋"/>
          <w:color w:val="000000"/>
          <w:sz w:val="24"/>
          <w:szCs w:val="24"/>
          <w:highlight w:val="yellow"/>
          <w:lang w:val="en-US" w:eastAsia="zh-CN"/>
        </w:rPr>
        <w:t>2023</w:t>
      </w:r>
      <w:r>
        <w:rPr>
          <w:rFonts w:hint="eastAsia" w:ascii="仿宋" w:hAnsi="仿宋" w:eastAsia="仿宋" w:cs="仿宋"/>
          <w:color w:val="000000"/>
          <w:sz w:val="24"/>
          <w:szCs w:val="24"/>
          <w:highlight w:val="yellow"/>
        </w:rPr>
        <w:t>年</w:t>
      </w:r>
      <w:r>
        <w:rPr>
          <w:rFonts w:hint="eastAsia" w:ascii="仿宋" w:hAnsi="仿宋" w:eastAsia="仿宋" w:cs="仿宋"/>
          <w:color w:val="000000"/>
          <w:sz w:val="24"/>
          <w:szCs w:val="24"/>
          <w:highlight w:val="yellow"/>
          <w:lang w:val="en-US" w:eastAsia="zh-CN"/>
        </w:rPr>
        <w:t>11</w:t>
      </w:r>
      <w:r>
        <w:rPr>
          <w:rFonts w:hint="eastAsia" w:ascii="仿宋" w:hAnsi="仿宋" w:eastAsia="仿宋" w:cs="仿宋"/>
          <w:color w:val="000000"/>
          <w:sz w:val="24"/>
          <w:szCs w:val="24"/>
          <w:highlight w:val="yellow"/>
        </w:rPr>
        <w:t>月</w:t>
      </w:r>
      <w:r>
        <w:rPr>
          <w:rFonts w:hint="eastAsia" w:ascii="仿宋" w:hAnsi="仿宋" w:eastAsia="仿宋" w:cs="仿宋"/>
          <w:color w:val="000000"/>
          <w:sz w:val="24"/>
          <w:szCs w:val="24"/>
          <w:highlight w:val="yellow"/>
          <w:lang w:val="en-US" w:eastAsia="zh-CN"/>
        </w:rPr>
        <w:t>1</w:t>
      </w:r>
      <w:r>
        <w:rPr>
          <w:rFonts w:hint="eastAsia" w:ascii="仿宋" w:hAnsi="仿宋" w:eastAsia="仿宋" w:cs="仿宋"/>
          <w:color w:val="000000"/>
          <w:sz w:val="24"/>
          <w:szCs w:val="24"/>
          <w:highlight w:val="yellow"/>
        </w:rPr>
        <w:t>日</w:t>
      </w:r>
      <w:r>
        <w:rPr>
          <w:rFonts w:hint="eastAsia" w:ascii="仿宋" w:hAnsi="仿宋" w:eastAsia="仿宋" w:cs="仿宋"/>
          <w:color w:val="000000"/>
          <w:sz w:val="24"/>
          <w:szCs w:val="24"/>
          <w:highlight w:val="yellow"/>
          <w:lang w:val="en-US" w:eastAsia="zh-CN"/>
        </w:rPr>
        <w:t>15：00</w:t>
      </w:r>
      <w:r>
        <w:rPr>
          <w:rFonts w:hint="eastAsia" w:ascii="仿宋" w:hAnsi="仿宋" w:eastAsia="仿宋" w:cs="仿宋"/>
          <w:color w:val="000000"/>
          <w:sz w:val="24"/>
          <w:szCs w:val="24"/>
          <w:highlight w:val="yellow"/>
        </w:rPr>
        <w:t>（北京时间）。</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2.投标文件递交及开标地点：湖南科技学院院行政办公楼303评标室。</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3.投标时投标方须带齐证照、授权书、投标书等相关资料。</w:t>
      </w:r>
    </w:p>
    <w:p>
      <w:pPr>
        <w:widowControl/>
        <w:snapToGrid w:val="0"/>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4.逾期送达或者不按招标文件要求密封或者不按招标文件的要求提供投标保证金的响应文件，采购代理机构将拒绝接收。</w:t>
      </w:r>
    </w:p>
    <w:p>
      <w:pPr>
        <w:snapToGrid w:val="0"/>
        <w:spacing w:line="360" w:lineRule="auto"/>
        <w:ind w:firstLine="472" w:firstLineChars="196"/>
        <w:rPr>
          <w:rFonts w:ascii="仿宋" w:hAnsi="仿宋" w:eastAsia="仿宋" w:cs="仿宋"/>
          <w:b/>
          <w:sz w:val="24"/>
          <w:szCs w:val="24"/>
        </w:rPr>
      </w:pPr>
      <w:r>
        <w:rPr>
          <w:rFonts w:hint="eastAsia" w:ascii="仿宋" w:hAnsi="仿宋" w:eastAsia="仿宋" w:cs="仿宋"/>
          <w:b/>
          <w:color w:val="000000"/>
          <w:sz w:val="24"/>
          <w:szCs w:val="24"/>
        </w:rPr>
        <w:t>七、</w:t>
      </w:r>
      <w:r>
        <w:rPr>
          <w:rFonts w:hint="eastAsia" w:ascii="仿宋" w:hAnsi="仿宋" w:eastAsia="仿宋" w:cs="仿宋"/>
          <w:b/>
          <w:sz w:val="24"/>
          <w:szCs w:val="24"/>
        </w:rPr>
        <w:t>联系方式：</w:t>
      </w:r>
    </w:p>
    <w:p>
      <w:pPr>
        <w:snapToGrid w:val="0"/>
        <w:spacing w:line="360" w:lineRule="auto"/>
        <w:rPr>
          <w:rFonts w:ascii="仿宋" w:hAnsi="仿宋" w:eastAsia="仿宋" w:cs="仿宋"/>
          <w:sz w:val="24"/>
          <w:szCs w:val="24"/>
        </w:rPr>
      </w:pPr>
      <w:r>
        <w:rPr>
          <w:rFonts w:hint="eastAsia" w:ascii="仿宋" w:hAnsi="仿宋" w:eastAsia="仿宋" w:cs="仿宋"/>
          <w:sz w:val="24"/>
          <w:szCs w:val="24"/>
        </w:rPr>
        <w:t xml:space="preserve">    采购人：湖南科技学院  </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联系人：杨老师 联系电话：</w:t>
      </w:r>
      <w:r>
        <w:rPr>
          <w:rFonts w:ascii="仿宋" w:hAnsi="仿宋" w:eastAsia="仿宋" w:cs="仿宋"/>
          <w:sz w:val="24"/>
          <w:szCs w:val="24"/>
        </w:rPr>
        <w:t>18188927758</w:t>
      </w:r>
      <w:r>
        <w:rPr>
          <w:rFonts w:hint="eastAsia" w:ascii="仿宋" w:hAnsi="仿宋" w:eastAsia="仿宋" w:cs="仿宋"/>
          <w:sz w:val="24"/>
          <w:szCs w:val="24"/>
        </w:rPr>
        <w:t>　</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采购代理机构：湖南科技学院采购中心</w:t>
      </w:r>
    </w:p>
    <w:p>
      <w:pPr>
        <w:snapToGrid w:val="0"/>
        <w:spacing w:line="360" w:lineRule="auto"/>
        <w:ind w:firstLine="480" w:firstLineChars="200"/>
        <w:rPr>
          <w:rFonts w:ascii="仿宋" w:hAnsi="仿宋" w:eastAsia="仿宋" w:cs="仿宋"/>
          <w:b/>
          <w:sz w:val="24"/>
          <w:szCs w:val="24"/>
        </w:rPr>
      </w:pPr>
      <w:r>
        <w:rPr>
          <w:rFonts w:hint="eastAsia" w:ascii="仿宋" w:hAnsi="仿宋" w:eastAsia="仿宋" w:cs="仿宋"/>
          <w:sz w:val="24"/>
          <w:szCs w:val="24"/>
        </w:rPr>
        <w:t>联系人：邓老师 联系电话：0746-6388315</w:t>
      </w:r>
      <w:r>
        <w:rPr>
          <w:rFonts w:hint="eastAsia" w:ascii="仿宋" w:hAnsi="仿宋" w:eastAsia="仿宋" w:cs="仿宋"/>
          <w:b/>
          <w:sz w:val="24"/>
          <w:szCs w:val="24"/>
        </w:rPr>
        <w:t>　　</w:t>
      </w:r>
    </w:p>
    <w:p>
      <w:pPr>
        <w:snapToGrid w:val="0"/>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八、采购监督管理部门：</w:t>
      </w:r>
    </w:p>
    <w:p>
      <w:pPr>
        <w:snapToGrid w:val="0"/>
        <w:spacing w:line="360" w:lineRule="auto"/>
        <w:rPr>
          <w:rFonts w:ascii="仿宋" w:hAnsi="仿宋" w:eastAsia="仿宋" w:cs="仿宋"/>
          <w:sz w:val="24"/>
          <w:szCs w:val="24"/>
        </w:rPr>
      </w:pPr>
      <w:r>
        <w:rPr>
          <w:rFonts w:hint="eastAsia" w:ascii="仿宋" w:hAnsi="仿宋" w:eastAsia="仿宋" w:cs="仿宋"/>
          <w:sz w:val="24"/>
          <w:szCs w:val="24"/>
        </w:rPr>
        <w:t xml:space="preserve">    湖南科技学院纪检监察处   监督电话：0746-6381404</w:t>
      </w:r>
    </w:p>
    <w:p>
      <w:pPr>
        <w:widowControl/>
        <w:snapToGrid w:val="0"/>
        <w:spacing w:line="360" w:lineRule="auto"/>
        <w:ind w:firstLine="2570" w:firstLineChars="800"/>
        <w:rPr>
          <w:rFonts w:ascii="仿宋" w:hAnsi="仿宋" w:eastAsia="仿宋" w:cs="仿宋"/>
          <w:b/>
          <w:bCs/>
          <w:kern w:val="0"/>
          <w:sz w:val="32"/>
          <w:szCs w:val="32"/>
        </w:rPr>
      </w:pPr>
    </w:p>
    <w:p>
      <w:pPr>
        <w:widowControl/>
        <w:snapToGrid w:val="0"/>
        <w:spacing w:line="360" w:lineRule="auto"/>
        <w:ind w:firstLine="2570" w:firstLineChars="800"/>
        <w:rPr>
          <w:rFonts w:ascii="仿宋" w:hAnsi="仿宋" w:eastAsia="仿宋" w:cs="仿宋"/>
          <w:b/>
          <w:bCs/>
          <w:kern w:val="0"/>
          <w:sz w:val="32"/>
          <w:szCs w:val="32"/>
        </w:rPr>
      </w:pPr>
    </w:p>
    <w:p>
      <w:pPr>
        <w:widowControl/>
        <w:snapToGrid w:val="0"/>
        <w:spacing w:line="360" w:lineRule="auto"/>
        <w:ind w:firstLine="2570" w:firstLineChars="800"/>
        <w:rPr>
          <w:rFonts w:ascii="仿宋" w:hAnsi="仿宋" w:eastAsia="仿宋" w:cs="仿宋"/>
          <w:b/>
          <w:bCs/>
          <w:kern w:val="0"/>
          <w:sz w:val="32"/>
          <w:szCs w:val="32"/>
        </w:rPr>
      </w:pPr>
    </w:p>
    <w:p>
      <w:pPr>
        <w:widowControl/>
        <w:snapToGrid w:val="0"/>
        <w:spacing w:line="360" w:lineRule="auto"/>
        <w:ind w:firstLine="2570" w:firstLineChars="800"/>
        <w:rPr>
          <w:rFonts w:ascii="仿宋" w:hAnsi="仿宋" w:eastAsia="仿宋" w:cs="仿宋"/>
          <w:b/>
          <w:bCs/>
          <w:kern w:val="0"/>
          <w:sz w:val="32"/>
          <w:szCs w:val="32"/>
        </w:rPr>
      </w:pPr>
    </w:p>
    <w:p>
      <w:pPr>
        <w:widowControl/>
        <w:snapToGrid w:val="0"/>
        <w:spacing w:line="360" w:lineRule="auto"/>
        <w:ind w:firstLine="2570" w:firstLineChars="800"/>
        <w:rPr>
          <w:rFonts w:ascii="仿宋" w:hAnsi="仿宋" w:eastAsia="仿宋" w:cs="仿宋"/>
          <w:b/>
          <w:bCs/>
          <w:kern w:val="0"/>
          <w:sz w:val="32"/>
          <w:szCs w:val="32"/>
        </w:rPr>
      </w:pPr>
    </w:p>
    <w:p>
      <w:pPr>
        <w:pStyle w:val="18"/>
        <w:rPr>
          <w:rFonts w:ascii="仿宋" w:hAnsi="仿宋" w:eastAsia="仿宋"/>
        </w:rPr>
      </w:pPr>
    </w:p>
    <w:p>
      <w:pPr>
        <w:widowControl/>
        <w:snapToGrid w:val="0"/>
        <w:spacing w:line="360" w:lineRule="auto"/>
        <w:ind w:firstLine="2570" w:firstLineChars="800"/>
        <w:rPr>
          <w:rFonts w:hint="eastAsia" w:ascii="仿宋" w:hAnsi="仿宋" w:eastAsia="仿宋" w:cs="仿宋"/>
          <w:b/>
          <w:bCs/>
          <w:kern w:val="0"/>
          <w:sz w:val="32"/>
          <w:szCs w:val="32"/>
        </w:rPr>
      </w:pPr>
      <w:r>
        <w:rPr>
          <w:rFonts w:hint="eastAsia" w:ascii="仿宋" w:hAnsi="仿宋" w:eastAsia="仿宋" w:cs="仿宋"/>
          <w:b/>
          <w:bCs/>
          <w:kern w:val="0"/>
          <w:sz w:val="32"/>
          <w:szCs w:val="32"/>
        </w:rPr>
        <w:t xml:space="preserve"> </w:t>
      </w:r>
    </w:p>
    <w:p>
      <w:pPr>
        <w:widowControl/>
        <w:snapToGrid w:val="0"/>
        <w:spacing w:line="360" w:lineRule="auto"/>
        <w:ind w:firstLine="2570" w:firstLineChars="800"/>
        <w:rPr>
          <w:rFonts w:hint="eastAsia" w:ascii="仿宋" w:hAnsi="仿宋" w:eastAsia="仿宋" w:cs="仿宋"/>
          <w:b/>
          <w:bCs/>
          <w:kern w:val="0"/>
          <w:sz w:val="32"/>
          <w:szCs w:val="32"/>
        </w:rPr>
      </w:pPr>
    </w:p>
    <w:p>
      <w:pPr>
        <w:widowControl/>
        <w:snapToGrid w:val="0"/>
        <w:spacing w:line="360" w:lineRule="auto"/>
        <w:ind w:firstLine="2570" w:firstLineChars="800"/>
        <w:rPr>
          <w:rFonts w:hint="eastAsia" w:ascii="仿宋" w:hAnsi="仿宋" w:eastAsia="仿宋" w:cs="仿宋"/>
          <w:b/>
          <w:bCs/>
          <w:kern w:val="0"/>
          <w:sz w:val="32"/>
          <w:szCs w:val="32"/>
        </w:rPr>
      </w:pPr>
    </w:p>
    <w:p>
      <w:pPr>
        <w:widowControl/>
        <w:snapToGrid w:val="0"/>
        <w:spacing w:line="360" w:lineRule="auto"/>
        <w:ind w:firstLine="2570" w:firstLineChars="800"/>
        <w:rPr>
          <w:rFonts w:ascii="仿宋" w:hAnsi="仿宋" w:eastAsia="仿宋" w:cs="仿宋"/>
          <w:b/>
          <w:kern w:val="0"/>
          <w:sz w:val="32"/>
          <w:szCs w:val="32"/>
        </w:rPr>
      </w:pPr>
      <w:r>
        <w:rPr>
          <w:rFonts w:hint="eastAsia" w:ascii="仿宋" w:hAnsi="仿宋" w:eastAsia="仿宋" w:cs="仿宋"/>
          <w:b/>
          <w:bCs/>
          <w:kern w:val="0"/>
          <w:sz w:val="32"/>
          <w:szCs w:val="32"/>
        </w:rPr>
        <w:t>第二章 招标</w:t>
      </w:r>
      <w:r>
        <w:rPr>
          <w:rFonts w:hint="eastAsia" w:ascii="仿宋" w:hAnsi="仿宋" w:eastAsia="仿宋" w:cs="仿宋"/>
          <w:b/>
          <w:sz w:val="32"/>
          <w:szCs w:val="32"/>
        </w:rPr>
        <w:t>须知</w:t>
      </w:r>
    </w:p>
    <w:p>
      <w:pPr>
        <w:adjustRightInd w:val="0"/>
        <w:snapToGrid w:val="0"/>
        <w:spacing w:line="360" w:lineRule="auto"/>
        <w:ind w:firstLine="480" w:firstLineChars="200"/>
        <w:rPr>
          <w:rFonts w:ascii="仿宋" w:hAnsi="仿宋" w:eastAsia="仿宋" w:cs="仿宋"/>
          <w:kern w:val="0"/>
          <w:sz w:val="24"/>
          <w:szCs w:val="24"/>
        </w:rPr>
      </w:pPr>
    </w:p>
    <w:p>
      <w:pPr>
        <w:widowControl/>
        <w:adjustRightInd w:val="0"/>
        <w:snapToGrid w:val="0"/>
        <w:spacing w:line="360" w:lineRule="auto"/>
        <w:ind w:firstLine="482" w:firstLineChars="200"/>
        <w:jc w:val="left"/>
        <w:rPr>
          <w:rFonts w:ascii="仿宋" w:hAnsi="仿宋" w:eastAsia="仿宋" w:cs="仿宋"/>
          <w:b/>
          <w:bCs/>
          <w:kern w:val="0"/>
          <w:sz w:val="24"/>
          <w:szCs w:val="24"/>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rPr>
        <w:t>湖南科技学院学生公寓、学生食堂建设项目预算编制</w:t>
      </w:r>
    </w:p>
    <w:p>
      <w:pPr>
        <w:widowControl/>
        <w:snapToGrid w:val="0"/>
        <w:spacing w:line="360" w:lineRule="auto"/>
        <w:ind w:firstLine="482" w:firstLineChars="200"/>
        <w:rPr>
          <w:rFonts w:ascii="仿宋" w:hAnsi="仿宋" w:eastAsia="仿宋" w:cs="仿宋"/>
          <w:color w:val="000000"/>
          <w:kern w:val="0"/>
          <w:sz w:val="24"/>
          <w:szCs w:val="24"/>
        </w:rPr>
      </w:pPr>
      <w:r>
        <w:rPr>
          <w:rFonts w:hint="eastAsia" w:ascii="仿宋" w:hAnsi="仿宋" w:eastAsia="仿宋" w:cs="仿宋"/>
          <w:b/>
          <w:bCs/>
          <w:kern w:val="0"/>
          <w:sz w:val="24"/>
          <w:szCs w:val="24"/>
        </w:rPr>
        <w:t>二、项目编号：</w:t>
      </w:r>
      <w:r>
        <w:rPr>
          <w:rFonts w:ascii="仿宋" w:hAnsi="仿宋" w:eastAsia="仿宋" w:cs="仿宋"/>
          <w:color w:val="000000"/>
          <w:sz w:val="24"/>
          <w:szCs w:val="24"/>
        </w:rPr>
        <w:t xml:space="preserve"> </w:t>
      </w:r>
      <w:r>
        <w:rPr>
          <w:rFonts w:hint="eastAsia" w:ascii="仿宋" w:hAnsi="仿宋" w:eastAsia="仿宋" w:cs="仿宋"/>
          <w:color w:val="000000"/>
          <w:kern w:val="0"/>
          <w:sz w:val="24"/>
          <w:szCs w:val="24"/>
        </w:rPr>
        <w:t xml:space="preserve">XKY-CG2023051 </w:t>
      </w:r>
    </w:p>
    <w:p>
      <w:pPr>
        <w:pStyle w:val="15"/>
        <w:snapToGrid w:val="0"/>
        <w:spacing w:before="0" w:beforeAutospacing="0" w:after="0" w:afterAutospacing="0" w:line="360" w:lineRule="auto"/>
        <w:ind w:firstLine="482" w:firstLineChars="200"/>
        <w:rPr>
          <w:rFonts w:ascii="仿宋" w:hAnsi="仿宋" w:eastAsia="仿宋" w:cs="仿宋"/>
          <w:color w:val="000000"/>
        </w:rPr>
      </w:pPr>
      <w:r>
        <w:rPr>
          <w:rFonts w:hint="eastAsia" w:ascii="仿宋" w:hAnsi="仿宋" w:eastAsia="仿宋" w:cs="仿宋"/>
          <w:b/>
        </w:rPr>
        <w:t>三、</w:t>
      </w:r>
      <w:r>
        <w:rPr>
          <w:rFonts w:hint="eastAsia" w:ascii="仿宋" w:hAnsi="仿宋" w:eastAsia="仿宋" w:cs="仿宋"/>
          <w:b/>
          <w:bCs/>
          <w:shd w:val="clear" w:color="auto" w:fill="FFFFFF"/>
        </w:rPr>
        <w:t>项目概况：</w:t>
      </w:r>
      <w:r>
        <w:rPr>
          <w:rFonts w:hint="eastAsia" w:ascii="仿宋" w:hAnsi="仿宋" w:eastAsia="仿宋" w:cs="仿宋"/>
          <w:color w:val="000000"/>
        </w:rPr>
        <w:t>详见第三章采购需求</w:t>
      </w:r>
    </w:p>
    <w:p>
      <w:pPr>
        <w:pStyle w:val="15"/>
        <w:snapToGrid w:val="0"/>
        <w:spacing w:before="0" w:beforeAutospacing="0" w:after="0" w:afterAutospacing="0" w:line="360" w:lineRule="auto"/>
        <w:ind w:firstLine="482"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b/>
          <w:bCs/>
          <w:shd w:val="clear" w:color="auto" w:fill="FFFFFF"/>
        </w:rPr>
        <w:t>四、预算编制期限：</w:t>
      </w:r>
      <w:r>
        <w:rPr>
          <w:rFonts w:hint="eastAsia" w:ascii="仿宋" w:hAnsi="仿宋" w:eastAsia="仿宋" w:cs="仿宋"/>
          <w:color w:val="000000" w:themeColor="text1"/>
          <w14:textFill>
            <w14:solidFill>
              <w14:schemeClr w14:val="tx1"/>
            </w14:solidFill>
          </w14:textFill>
        </w:rPr>
        <w:t>自接受完整的审计资料后，</w:t>
      </w:r>
      <w:r>
        <w:rPr>
          <w:rFonts w:hint="eastAsia" w:ascii="仿宋" w:hAnsi="仿宋" w:eastAsia="仿宋" w:cs="仿宋"/>
        </w:rPr>
        <w:t>一个月</w:t>
      </w:r>
      <w:r>
        <w:rPr>
          <w:rFonts w:hint="eastAsia" w:ascii="仿宋" w:hAnsi="仿宋" w:eastAsia="仿宋" w:cs="仿宋"/>
          <w:color w:val="000000" w:themeColor="text1"/>
          <w14:textFill>
            <w14:solidFill>
              <w14:schemeClr w14:val="tx1"/>
            </w14:solidFill>
          </w14:textFill>
        </w:rPr>
        <w:t>内按委托方需求完成工程预算编制，出具预算编制报告并配合甲方完成湖南省财政厅财政评审中心评审。</w:t>
      </w:r>
    </w:p>
    <w:p>
      <w:pPr>
        <w:widowControl/>
        <w:shd w:val="clear" w:color="auto" w:fill="FFFFFF"/>
        <w:snapToGrid w:val="0"/>
        <w:spacing w:line="360" w:lineRule="auto"/>
        <w:ind w:firstLine="480"/>
        <w:jc w:val="left"/>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b/>
          <w:bCs/>
          <w:color w:val="000000" w:themeColor="text1"/>
          <w:kern w:val="0"/>
          <w:sz w:val="24"/>
          <w:szCs w:val="24"/>
          <w14:textFill>
            <w14:solidFill>
              <w14:schemeClr w14:val="tx1"/>
            </w14:solidFill>
          </w14:textFill>
        </w:rPr>
        <w:t>五、</w:t>
      </w:r>
      <w:r>
        <w:rPr>
          <w:rFonts w:hint="eastAsia" w:ascii="仿宋" w:hAnsi="仿宋" w:eastAsia="仿宋" w:cs="仿宋"/>
          <w:b/>
          <w:bCs/>
          <w:kern w:val="0"/>
          <w:sz w:val="24"/>
          <w:szCs w:val="24"/>
          <w:shd w:val="clear" w:color="auto" w:fill="FFFFFF"/>
        </w:rPr>
        <w:t>预算编制</w:t>
      </w:r>
      <w:r>
        <w:rPr>
          <w:rFonts w:hint="eastAsia" w:ascii="仿宋" w:hAnsi="仿宋" w:eastAsia="仿宋" w:cs="仿宋"/>
          <w:b/>
          <w:bCs/>
          <w:color w:val="000000" w:themeColor="text1"/>
          <w:kern w:val="0"/>
          <w:sz w:val="24"/>
          <w:szCs w:val="24"/>
          <w14:textFill>
            <w14:solidFill>
              <w14:schemeClr w14:val="tx1"/>
            </w14:solidFill>
          </w14:textFill>
        </w:rPr>
        <w:t>费用：</w:t>
      </w:r>
      <w:r>
        <w:rPr>
          <w:rFonts w:hint="eastAsia" w:ascii="仿宋" w:hAnsi="仿宋" w:eastAsia="仿宋" w:cs="仿宋"/>
          <w:bCs/>
          <w:kern w:val="0"/>
          <w:sz w:val="24"/>
          <w:szCs w:val="24"/>
          <w:shd w:val="clear" w:color="auto" w:fill="FFFFFF"/>
        </w:rPr>
        <w:t>预算编制</w:t>
      </w:r>
      <w:r>
        <w:rPr>
          <w:rFonts w:hint="eastAsia" w:ascii="仿宋" w:hAnsi="仿宋" w:eastAsia="仿宋" w:cs="仿宋"/>
          <w:color w:val="000000" w:themeColor="text1"/>
          <w:kern w:val="0"/>
          <w:sz w:val="24"/>
          <w:szCs w:val="24"/>
          <w14:textFill>
            <w14:solidFill>
              <w14:schemeClr w14:val="tx1"/>
            </w14:solidFill>
          </w14:textFill>
        </w:rPr>
        <w:t>费用根据湘建价协[2016]25号文中工程预算（工程量清单及计价）编制或审核收费参考价格的70%确定上限值，</w:t>
      </w:r>
      <w:r>
        <w:rPr>
          <w:rFonts w:hint="eastAsia" w:ascii="仿宋" w:hAnsi="仿宋" w:eastAsia="仿宋" w:cs="仿宋"/>
          <w:b/>
          <w:bCs/>
          <w:color w:val="000000" w:themeColor="text1"/>
          <w:kern w:val="0"/>
          <w:sz w:val="24"/>
          <w:szCs w:val="24"/>
          <w14:textFill>
            <w14:solidFill>
              <w14:schemeClr w14:val="tx1"/>
            </w14:solidFill>
          </w14:textFill>
        </w:rPr>
        <w:t>上限值为</w:t>
      </w:r>
      <w:r>
        <w:rPr>
          <w:rFonts w:ascii="仿宋" w:hAnsi="仿宋" w:eastAsia="仿宋" w:cs="仿宋"/>
          <w:b/>
          <w:bCs/>
          <w:color w:val="000000" w:themeColor="text1"/>
          <w:kern w:val="0"/>
          <w:sz w:val="24"/>
          <w:szCs w:val="24"/>
          <w:highlight w:val="none"/>
          <w14:textFill>
            <w14:solidFill>
              <w14:schemeClr w14:val="tx1"/>
            </w14:solidFill>
          </w14:textFill>
        </w:rPr>
        <w:t>2</w:t>
      </w:r>
      <w:r>
        <w:rPr>
          <w:rFonts w:hint="eastAsia" w:ascii="仿宋" w:hAnsi="仿宋" w:eastAsia="仿宋" w:cs="仿宋"/>
          <w:b/>
          <w:bCs/>
          <w:color w:val="000000" w:themeColor="text1"/>
          <w:kern w:val="0"/>
          <w:sz w:val="24"/>
          <w:szCs w:val="24"/>
          <w:highlight w:val="none"/>
          <w14:textFill>
            <w14:solidFill>
              <w14:schemeClr w14:val="tx1"/>
            </w14:solidFill>
          </w14:textFill>
        </w:rPr>
        <w:t>4</w:t>
      </w:r>
      <w:r>
        <w:rPr>
          <w:rFonts w:ascii="仿宋" w:hAnsi="仿宋" w:eastAsia="仿宋" w:cs="仿宋"/>
          <w:b/>
          <w:bCs/>
          <w:color w:val="000000" w:themeColor="text1"/>
          <w:kern w:val="0"/>
          <w:sz w:val="24"/>
          <w:szCs w:val="24"/>
          <w:highlight w:val="none"/>
          <w14:textFill>
            <w14:solidFill>
              <w14:schemeClr w14:val="tx1"/>
            </w14:solidFill>
          </w14:textFill>
        </w:rPr>
        <w:t>.3</w:t>
      </w:r>
      <w:r>
        <w:rPr>
          <w:rFonts w:hint="eastAsia" w:ascii="仿宋" w:hAnsi="仿宋" w:eastAsia="仿宋" w:cs="仿宋"/>
          <w:b/>
          <w:bCs/>
          <w:color w:val="000000" w:themeColor="text1"/>
          <w:kern w:val="0"/>
          <w:sz w:val="24"/>
          <w:szCs w:val="24"/>
          <w:highlight w:val="none"/>
          <w:lang w:eastAsia="zh-CN"/>
          <w14:textFill>
            <w14:solidFill>
              <w14:schemeClr w14:val="tx1"/>
            </w14:solidFill>
          </w14:textFill>
        </w:rPr>
        <w:t>万</w:t>
      </w:r>
      <w:r>
        <w:rPr>
          <w:rFonts w:hint="eastAsia" w:ascii="仿宋" w:hAnsi="仿宋" w:eastAsia="仿宋" w:cs="仿宋"/>
          <w:b/>
          <w:bCs/>
          <w:color w:val="000000" w:themeColor="text1"/>
          <w:kern w:val="0"/>
          <w:sz w:val="24"/>
          <w:szCs w:val="24"/>
          <w:highlight w:val="none"/>
          <w14:textFill>
            <w14:solidFill>
              <w14:schemeClr w14:val="tx1"/>
            </w14:solidFill>
          </w14:textFill>
        </w:rPr>
        <w:t>元。</w:t>
      </w:r>
    </w:p>
    <w:p>
      <w:pPr>
        <w:snapToGrid w:val="0"/>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六、付款方式：</w:t>
      </w:r>
      <w:r>
        <w:rPr>
          <w:rFonts w:hint="eastAsia" w:ascii="仿宋" w:hAnsi="仿宋" w:eastAsia="仿宋" w:cs="仿宋"/>
          <w:kern w:val="0"/>
          <w:sz w:val="24"/>
          <w:szCs w:val="24"/>
        </w:rPr>
        <w:t>本项目无预付款，中标供应商交付相应的咨询服务成果文件,一次性付清。</w:t>
      </w:r>
      <w:r>
        <w:rPr>
          <w:rFonts w:hint="eastAsia" w:ascii="仿宋" w:hAnsi="仿宋" w:eastAsia="仿宋" w:cs="仿宋"/>
          <w:color w:val="000000"/>
          <w:kern w:val="0"/>
          <w:sz w:val="24"/>
          <w:szCs w:val="24"/>
        </w:rPr>
        <w:t>付款前中标</w:t>
      </w:r>
      <w:r>
        <w:rPr>
          <w:rFonts w:hint="eastAsia" w:ascii="仿宋" w:hAnsi="仿宋" w:eastAsia="仿宋" w:cs="仿宋"/>
          <w:kern w:val="0"/>
          <w:sz w:val="24"/>
          <w:szCs w:val="24"/>
        </w:rPr>
        <w:t>供应商</w:t>
      </w:r>
      <w:r>
        <w:rPr>
          <w:rFonts w:hint="eastAsia" w:ascii="仿宋" w:hAnsi="仿宋" w:eastAsia="仿宋" w:cs="仿宋"/>
          <w:color w:val="000000"/>
          <w:kern w:val="0"/>
          <w:sz w:val="24"/>
          <w:szCs w:val="24"/>
        </w:rPr>
        <w:t>应当提供增值税发票，且采购人不接受委托付款。</w:t>
      </w:r>
    </w:p>
    <w:p>
      <w:pPr>
        <w:widowControl/>
        <w:snapToGrid w:val="0"/>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七、评标办法：</w:t>
      </w:r>
      <w:r>
        <w:rPr>
          <w:rFonts w:hint="eastAsia" w:ascii="仿宋" w:hAnsi="仿宋" w:eastAsia="仿宋" w:cs="仿宋"/>
          <w:kern w:val="0"/>
          <w:sz w:val="24"/>
          <w:szCs w:val="24"/>
        </w:rPr>
        <w:t>综合评分法，指投标文件满足招标文件全部实质性要求，且按照评审因素的量化指标评审得分最高的投标人为中标候选人的评标方法。</w:t>
      </w:r>
    </w:p>
    <w:p>
      <w:pPr>
        <w:snapToGrid w:val="0"/>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九、投标保证金缴纳及退还方式</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4000</w:t>
      </w:r>
      <w:r>
        <w:rPr>
          <w:rFonts w:hint="eastAsia" w:ascii="仿宋" w:hAnsi="仿宋" w:eastAsia="仿宋" w:cs="仿宋"/>
          <w:color w:val="000000"/>
          <w:kern w:val="0"/>
          <w:sz w:val="24"/>
          <w:szCs w:val="24"/>
        </w:rPr>
        <w:t>元。</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开户银行：中国工商银行股份有限公司永州零陵支行</w:t>
      </w:r>
    </w:p>
    <w:p>
      <w:pPr>
        <w:snapToGrid w:val="0"/>
        <w:spacing w:line="360" w:lineRule="auto"/>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银行账号：1910 0204 0920 0064 956</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湖南科技学院学生公寓、学生食堂建设项目预算编制项目投标保证金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napToGrid w:val="0"/>
        <w:spacing w:line="360" w:lineRule="auto"/>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1.中标人的投标保证金在采购人与中标人签订合同前转为履约保证金。</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2.未中标人的投标保证金由采购人统一办理退还手续。</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napToGrid w:val="0"/>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9"/>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197"/>
        <w:gridCol w:w="2197"/>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1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120" w:firstLineChars="50"/>
              <w:jc w:val="center"/>
              <w:rPr>
                <w:rFonts w:ascii="仿宋" w:hAnsi="仿宋" w:eastAsia="仿宋" w:cs="仿宋"/>
                <w:b/>
                <w:sz w:val="24"/>
                <w:szCs w:val="24"/>
              </w:rPr>
            </w:pPr>
            <w:r>
              <w:rPr>
                <w:rFonts w:hint="eastAsia" w:ascii="仿宋" w:hAnsi="仿宋" w:eastAsia="仿宋" w:cs="仿宋"/>
                <w:b/>
                <w:sz w:val="24"/>
                <w:szCs w:val="24"/>
              </w:rPr>
              <w:t>投标人名称</w:t>
            </w:r>
          </w:p>
        </w:tc>
        <w:tc>
          <w:tcPr>
            <w:tcW w:w="2197" w:type="dxa"/>
            <w:tcBorders>
              <w:top w:val="single" w:color="auto" w:sz="4" w:space="0"/>
              <w:left w:val="nil"/>
              <w:bottom w:val="single" w:color="auto" w:sz="4" w:space="0"/>
              <w:right w:val="single" w:color="auto" w:sz="4" w:space="0"/>
            </w:tcBorders>
            <w:vAlign w:val="center"/>
          </w:tcPr>
          <w:p>
            <w:pPr>
              <w:snapToGrid w:val="0"/>
              <w:spacing w:line="360" w:lineRule="auto"/>
              <w:ind w:firstLine="482"/>
              <w:rPr>
                <w:rFonts w:ascii="仿宋" w:hAnsi="仿宋" w:eastAsia="仿宋" w:cs="仿宋"/>
                <w:b/>
                <w:sz w:val="24"/>
                <w:szCs w:val="24"/>
              </w:rPr>
            </w:pPr>
            <w:r>
              <w:rPr>
                <w:rFonts w:hint="eastAsia" w:ascii="仿宋" w:hAnsi="仿宋" w:eastAsia="仿宋" w:cs="仿宋"/>
                <w:b/>
                <w:sz w:val="24"/>
                <w:szCs w:val="24"/>
              </w:rPr>
              <w:t>开户银行</w:t>
            </w:r>
          </w:p>
        </w:tc>
        <w:tc>
          <w:tcPr>
            <w:tcW w:w="2197" w:type="dxa"/>
            <w:tcBorders>
              <w:top w:val="single" w:color="auto" w:sz="4" w:space="0"/>
              <w:left w:val="nil"/>
              <w:bottom w:val="single" w:color="auto" w:sz="4" w:space="0"/>
              <w:right w:val="single" w:color="auto" w:sz="4" w:space="0"/>
            </w:tcBorders>
            <w:vAlign w:val="center"/>
          </w:tcPr>
          <w:p>
            <w:pPr>
              <w:snapToGrid w:val="0"/>
              <w:spacing w:line="360" w:lineRule="auto"/>
              <w:ind w:firstLine="482"/>
              <w:rPr>
                <w:rFonts w:ascii="仿宋" w:hAnsi="仿宋" w:eastAsia="仿宋" w:cs="仿宋"/>
                <w:b/>
                <w:sz w:val="24"/>
                <w:szCs w:val="24"/>
              </w:rPr>
            </w:pPr>
            <w:r>
              <w:rPr>
                <w:rFonts w:hint="eastAsia" w:ascii="仿宋" w:hAnsi="仿宋" w:eastAsia="仿宋" w:cs="仿宋"/>
                <w:b/>
                <w:sz w:val="24"/>
                <w:szCs w:val="24"/>
              </w:rPr>
              <w:t>银行账号</w:t>
            </w:r>
          </w:p>
        </w:tc>
        <w:tc>
          <w:tcPr>
            <w:tcW w:w="2648" w:type="dxa"/>
            <w:tcBorders>
              <w:top w:val="single" w:color="auto" w:sz="4" w:space="0"/>
              <w:left w:val="nil"/>
              <w:bottom w:val="single" w:color="auto" w:sz="4" w:space="0"/>
              <w:right w:val="single" w:color="auto" w:sz="4" w:space="0"/>
            </w:tcBorders>
            <w:vAlign w:val="center"/>
          </w:tcPr>
          <w:p>
            <w:pPr>
              <w:snapToGrid w:val="0"/>
              <w:spacing w:line="360" w:lineRule="auto"/>
              <w:ind w:firstLine="359" w:firstLineChars="149"/>
              <w:rPr>
                <w:rFonts w:ascii="仿宋" w:hAnsi="仿宋" w:eastAsia="仿宋" w:cs="仿宋"/>
                <w:b/>
                <w:sz w:val="24"/>
                <w:szCs w:val="24"/>
              </w:rPr>
            </w:pPr>
            <w:r>
              <w:rPr>
                <w:rFonts w:hint="eastAsia" w:ascii="仿宋" w:hAnsi="仿宋" w:eastAsia="仿宋" w:cs="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80"/>
              <w:jc w:val="center"/>
              <w:rPr>
                <w:rFonts w:ascii="仿宋" w:hAnsi="仿宋" w:eastAsia="仿宋" w:cs="仿宋"/>
                <w:sz w:val="24"/>
                <w:szCs w:val="24"/>
              </w:rPr>
            </w:pPr>
          </w:p>
        </w:tc>
        <w:tc>
          <w:tcPr>
            <w:tcW w:w="2197" w:type="dxa"/>
            <w:tcBorders>
              <w:top w:val="single" w:color="auto" w:sz="4" w:space="0"/>
              <w:left w:val="nil"/>
              <w:bottom w:val="single" w:color="auto" w:sz="4" w:space="0"/>
              <w:right w:val="single" w:color="auto" w:sz="4" w:space="0"/>
            </w:tcBorders>
            <w:vAlign w:val="center"/>
          </w:tcPr>
          <w:p>
            <w:pPr>
              <w:snapToGrid w:val="0"/>
              <w:spacing w:line="360" w:lineRule="auto"/>
              <w:ind w:firstLine="480"/>
              <w:jc w:val="center"/>
              <w:rPr>
                <w:rFonts w:ascii="仿宋" w:hAnsi="仿宋" w:eastAsia="仿宋" w:cs="仿宋"/>
                <w:sz w:val="24"/>
                <w:szCs w:val="24"/>
              </w:rPr>
            </w:pPr>
          </w:p>
        </w:tc>
        <w:tc>
          <w:tcPr>
            <w:tcW w:w="2197" w:type="dxa"/>
            <w:tcBorders>
              <w:top w:val="single" w:color="auto" w:sz="4" w:space="0"/>
              <w:left w:val="nil"/>
              <w:bottom w:val="single" w:color="auto" w:sz="4" w:space="0"/>
              <w:right w:val="single" w:color="auto" w:sz="4" w:space="0"/>
            </w:tcBorders>
            <w:vAlign w:val="center"/>
          </w:tcPr>
          <w:p>
            <w:pPr>
              <w:snapToGrid w:val="0"/>
              <w:spacing w:line="360" w:lineRule="auto"/>
              <w:ind w:firstLine="480"/>
              <w:jc w:val="center"/>
              <w:rPr>
                <w:rFonts w:ascii="仿宋" w:hAnsi="仿宋" w:eastAsia="仿宋" w:cs="仿宋"/>
                <w:sz w:val="24"/>
                <w:szCs w:val="24"/>
              </w:rPr>
            </w:pPr>
          </w:p>
        </w:tc>
        <w:tc>
          <w:tcPr>
            <w:tcW w:w="2648" w:type="dxa"/>
            <w:tcBorders>
              <w:top w:val="single" w:color="auto" w:sz="4" w:space="0"/>
              <w:left w:val="nil"/>
              <w:bottom w:val="single" w:color="auto" w:sz="4" w:space="0"/>
              <w:right w:val="single" w:color="auto" w:sz="4" w:space="0"/>
            </w:tcBorders>
            <w:vAlign w:val="center"/>
          </w:tcPr>
          <w:p>
            <w:pPr>
              <w:snapToGrid w:val="0"/>
              <w:spacing w:line="360" w:lineRule="auto"/>
              <w:ind w:firstLine="480"/>
              <w:jc w:val="center"/>
              <w:rPr>
                <w:rFonts w:ascii="仿宋" w:hAnsi="仿宋" w:eastAsia="仿宋" w:cs="仿宋"/>
                <w:sz w:val="24"/>
                <w:szCs w:val="24"/>
              </w:rPr>
            </w:pPr>
          </w:p>
        </w:tc>
      </w:tr>
    </w:tbl>
    <w:p>
      <w:pPr>
        <w:snapToGrid w:val="0"/>
        <w:spacing w:line="360" w:lineRule="auto"/>
        <w:ind w:firstLine="482" w:firstLineChars="200"/>
        <w:rPr>
          <w:rFonts w:ascii="仿宋" w:hAnsi="仿宋" w:eastAsia="仿宋" w:cs="仿宋"/>
          <w:bCs/>
          <w:kern w:val="0"/>
          <w:sz w:val="24"/>
          <w:szCs w:val="24"/>
        </w:rPr>
      </w:pPr>
      <w:r>
        <w:rPr>
          <w:rFonts w:hint="eastAsia" w:ascii="仿宋" w:hAnsi="仿宋" w:eastAsia="仿宋" w:cs="仿宋"/>
          <w:b/>
          <w:bCs/>
          <w:kern w:val="0"/>
          <w:sz w:val="24"/>
          <w:szCs w:val="24"/>
        </w:rPr>
        <w:t>十、履约保证金：</w:t>
      </w:r>
      <w:r>
        <w:rPr>
          <w:rFonts w:hint="eastAsia" w:ascii="仿宋" w:hAnsi="仿宋" w:eastAsia="仿宋" w:cs="仿宋"/>
          <w:bCs/>
          <w:kern w:val="0"/>
          <w:sz w:val="24"/>
          <w:szCs w:val="24"/>
        </w:rPr>
        <w:t>签定采购合同前，中标人的投标保证金转为履约保证金。</w:t>
      </w:r>
    </w:p>
    <w:p>
      <w:pPr>
        <w:snapToGrid w:val="0"/>
        <w:spacing w:line="360" w:lineRule="auto"/>
        <w:rPr>
          <w:rFonts w:ascii="仿宋" w:hAnsi="仿宋" w:eastAsia="仿宋" w:cs="仿宋"/>
          <w:b/>
          <w:bCs/>
          <w:kern w:val="0"/>
          <w:sz w:val="24"/>
          <w:szCs w:val="24"/>
          <w:highlight w:val="yellow"/>
        </w:rPr>
      </w:pPr>
      <w:r>
        <w:rPr>
          <w:rFonts w:hint="eastAsia" w:ascii="仿宋" w:hAnsi="仿宋" w:eastAsia="仿宋" w:cs="仿宋"/>
          <w:bCs/>
          <w:kern w:val="0"/>
          <w:sz w:val="24"/>
          <w:szCs w:val="24"/>
        </w:rPr>
        <w:t>项目完成后，经采购人确认无违约事项，采购人将履约保证金不计息一次性退还给中标人。</w:t>
      </w:r>
    </w:p>
    <w:p>
      <w:pPr>
        <w:snapToGrid w:val="0"/>
        <w:spacing w:line="360" w:lineRule="auto"/>
        <w:ind w:firstLine="482" w:firstLineChars="200"/>
        <w:rPr>
          <w:rFonts w:ascii="仿宋" w:hAnsi="仿宋" w:eastAsia="仿宋" w:cs="仿宋"/>
          <w:sz w:val="24"/>
          <w:szCs w:val="24"/>
        </w:rPr>
      </w:pPr>
      <w:r>
        <w:rPr>
          <w:rFonts w:hint="eastAsia" w:ascii="仿宋" w:hAnsi="仿宋" w:eastAsia="仿宋" w:cs="仿宋"/>
          <w:b/>
          <w:bCs/>
          <w:kern w:val="0"/>
          <w:sz w:val="24"/>
          <w:szCs w:val="24"/>
        </w:rPr>
        <w:t>十一、特定情形：</w:t>
      </w:r>
      <w:r>
        <w:rPr>
          <w:rFonts w:hint="eastAsia" w:ascii="仿宋" w:hAnsi="仿宋" w:eastAsia="仿宋" w:cs="仿宋"/>
          <w:kern w:val="0"/>
          <w:sz w:val="24"/>
          <w:szCs w:val="24"/>
        </w:rPr>
        <w:t>当通过资格性及符合性审查的有效供应商数量等于两家时，采购人有权对该两家供应商继续开展评审活动。</w:t>
      </w:r>
    </w:p>
    <w:p>
      <w:pPr>
        <w:snapToGrid w:val="0"/>
        <w:spacing w:line="360" w:lineRule="auto"/>
        <w:ind w:firstLine="482" w:firstLineChars="200"/>
        <w:rPr>
          <w:rFonts w:ascii="仿宋" w:hAnsi="仿宋" w:eastAsia="仿宋" w:cs="仿宋"/>
          <w:b/>
          <w:bCs/>
          <w:kern w:val="0"/>
          <w:sz w:val="24"/>
          <w:szCs w:val="24"/>
        </w:rPr>
      </w:pPr>
      <w:r>
        <w:rPr>
          <w:rFonts w:hint="eastAsia" w:ascii="仿宋" w:hAnsi="仿宋" w:eastAsia="仿宋" w:cs="仿宋"/>
          <w:b/>
          <w:bCs/>
          <w:kern w:val="0"/>
          <w:sz w:val="24"/>
          <w:szCs w:val="24"/>
        </w:rPr>
        <w:t>十二、特别要求</w:t>
      </w:r>
    </w:p>
    <w:p>
      <w:pPr>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本项目采购活动结束后，需在湖南省政府采购电子卖场完成采购流程，即：采购人按中标金额在电子卖场对中标供应商发起直购，在完成电子卖场采购流程后，按合同相关约定履行报账程序。</w:t>
      </w:r>
    </w:p>
    <w:p>
      <w:pPr>
        <w:snapToGrid w:val="0"/>
        <w:spacing w:line="360" w:lineRule="auto"/>
        <w:ind w:firstLine="482" w:firstLineChars="200"/>
        <w:rPr>
          <w:rFonts w:ascii="仿宋" w:hAnsi="仿宋" w:eastAsia="仿宋" w:cs="仿宋"/>
          <w:b/>
          <w:bCs/>
          <w:kern w:val="0"/>
          <w:sz w:val="24"/>
          <w:szCs w:val="24"/>
        </w:rPr>
      </w:pPr>
      <w:r>
        <w:rPr>
          <w:rFonts w:hint="eastAsia" w:ascii="仿宋" w:hAnsi="仿宋" w:eastAsia="仿宋" w:cs="仿宋"/>
          <w:b/>
          <w:bCs/>
          <w:kern w:val="0"/>
          <w:sz w:val="24"/>
          <w:szCs w:val="24"/>
        </w:rPr>
        <w:t>十三、投标文件的组成</w:t>
      </w:r>
    </w:p>
    <w:p>
      <w:pPr>
        <w:widowControl/>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1.投标函（自拟）</w:t>
      </w:r>
    </w:p>
    <w:p>
      <w:pPr>
        <w:widowControl/>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color w:val="000000"/>
          <w:kern w:val="0"/>
          <w:sz w:val="24"/>
          <w:szCs w:val="24"/>
        </w:rPr>
        <w:t>2.报价表</w:t>
      </w:r>
    </w:p>
    <w:p>
      <w:pPr>
        <w:widowControl/>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3.供应商的资格证明资料（包括特定资格要求，详见第七章）</w:t>
      </w:r>
    </w:p>
    <w:p>
      <w:pPr>
        <w:widowControl/>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4.项目实施方案：</w:t>
      </w:r>
      <w:r>
        <w:rPr>
          <w:rFonts w:hint="eastAsia" w:ascii="仿宋" w:hAnsi="仿宋" w:eastAsia="仿宋" w:cs="仿宋"/>
          <w:kern w:val="0"/>
          <w:sz w:val="24"/>
          <w:szCs w:val="24"/>
        </w:rPr>
        <w:t>包括项目服务方案、实施进度、服务承诺、保密承诺、服务组人员证明材料、类似业绩等。</w:t>
      </w:r>
    </w:p>
    <w:p>
      <w:pPr>
        <w:widowControl/>
        <w:snapToGrid w:val="0"/>
        <w:spacing w:line="360" w:lineRule="auto"/>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5.招标文件要求提供的相关材料及供应商认为需提供的其它资料。</w:t>
      </w:r>
    </w:p>
    <w:p>
      <w:pPr>
        <w:widowControl/>
        <w:snapToGrid w:val="0"/>
        <w:spacing w:line="360" w:lineRule="auto"/>
        <w:ind w:firstLine="482" w:firstLineChars="200"/>
        <w:jc w:val="left"/>
        <w:rPr>
          <w:rFonts w:hint="eastAsia" w:ascii="仿宋" w:hAnsi="仿宋" w:eastAsia="仿宋" w:cs="仿宋"/>
          <w:b/>
          <w:bCs/>
          <w:color w:val="000000"/>
          <w:kern w:val="0"/>
          <w:sz w:val="24"/>
          <w:szCs w:val="24"/>
          <w:lang w:eastAsia="zh-CN"/>
        </w:rPr>
      </w:pPr>
      <w:r>
        <w:rPr>
          <w:rFonts w:hint="eastAsia" w:ascii="仿宋" w:hAnsi="仿宋" w:eastAsia="仿宋" w:cs="仿宋"/>
          <w:b/>
          <w:bCs/>
          <w:color w:val="000000"/>
          <w:kern w:val="0"/>
          <w:sz w:val="24"/>
          <w:szCs w:val="24"/>
          <w:lang w:eastAsia="zh-CN"/>
        </w:rPr>
        <w:t>6.投</w:t>
      </w:r>
      <w:r>
        <w:rPr>
          <w:rFonts w:hint="eastAsia" w:ascii="仿宋" w:hAnsi="仿宋" w:eastAsia="仿宋" w:cs="仿宋"/>
          <w:b/>
          <w:bCs/>
          <w:color w:val="000000"/>
          <w:kern w:val="0"/>
          <w:sz w:val="24"/>
          <w:szCs w:val="24"/>
          <w:lang w:eastAsia="zh-CN"/>
        </w:rPr>
        <w:t>标人递交的投标文件应当编辑目录及页码，并在投标文件</w:t>
      </w:r>
      <w:r>
        <w:rPr>
          <w:rFonts w:hint="eastAsia" w:ascii="仿宋" w:hAnsi="仿宋" w:eastAsia="仿宋" w:cs="仿宋"/>
          <w:b/>
          <w:bCs/>
          <w:color w:val="000000"/>
          <w:kern w:val="0"/>
          <w:sz w:val="24"/>
          <w:szCs w:val="24"/>
          <w:lang w:val="en-US" w:eastAsia="zh-CN"/>
        </w:rPr>
        <w:t>正文</w:t>
      </w:r>
      <w:r>
        <w:rPr>
          <w:rFonts w:hint="eastAsia" w:ascii="仿宋" w:hAnsi="仿宋" w:eastAsia="仿宋" w:cs="仿宋"/>
          <w:b/>
          <w:bCs/>
          <w:color w:val="000000"/>
          <w:kern w:val="0"/>
          <w:sz w:val="24"/>
          <w:szCs w:val="24"/>
          <w:lang w:eastAsia="zh-CN"/>
        </w:rPr>
        <w:t>中标注页码，投标文件一正二副（须密封），招标文件封面注明正副本，写明投标人单位名称并加盖投标人单位公章。</w:t>
      </w:r>
    </w:p>
    <w:p>
      <w:pPr>
        <w:snapToGrid w:val="0"/>
        <w:spacing w:line="360" w:lineRule="auto"/>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b/>
          <w:bCs/>
          <w:kern w:val="0"/>
          <w:sz w:val="32"/>
          <w:szCs w:val="32"/>
        </w:rPr>
      </w:pPr>
    </w:p>
    <w:p>
      <w:pPr>
        <w:snapToGrid w:val="0"/>
        <w:spacing w:line="360" w:lineRule="auto"/>
        <w:ind w:firstLine="2891" w:firstLineChars="900"/>
        <w:rPr>
          <w:rFonts w:ascii="仿宋" w:hAnsi="仿宋" w:eastAsia="仿宋" w:cs="仿宋"/>
          <w:kern w:val="0"/>
          <w:sz w:val="32"/>
          <w:szCs w:val="32"/>
          <w:shd w:val="clear" w:color="auto" w:fill="FFFFFF"/>
        </w:rPr>
      </w:pPr>
      <w:r>
        <w:rPr>
          <w:rFonts w:hint="eastAsia" w:ascii="仿宋" w:hAnsi="仿宋" w:eastAsia="仿宋"/>
          <w:b/>
          <w:bCs/>
          <w:kern w:val="0"/>
          <w:sz w:val="32"/>
          <w:szCs w:val="32"/>
        </w:rPr>
        <w:t>第三章 采购需求</w:t>
      </w:r>
    </w:p>
    <w:p>
      <w:pPr>
        <w:pStyle w:val="10"/>
        <w:snapToGrid w:val="0"/>
        <w:spacing w:line="360" w:lineRule="auto"/>
        <w:rPr>
          <w:rFonts w:ascii="仿宋" w:hAnsi="仿宋" w:eastAsia="仿宋"/>
          <w:b/>
          <w:sz w:val="30"/>
          <w:szCs w:val="30"/>
          <w:lang w:val="zh-CN"/>
        </w:rPr>
      </w:pPr>
    </w:p>
    <w:p>
      <w:pPr>
        <w:pStyle w:val="10"/>
        <w:snapToGrid w:val="0"/>
        <w:spacing w:line="360" w:lineRule="auto"/>
        <w:ind w:firstLine="482" w:firstLineChars="200"/>
        <w:rPr>
          <w:rFonts w:ascii="仿宋" w:hAnsi="仿宋" w:eastAsia="仿宋" w:cs="仿宋"/>
          <w:b/>
          <w:lang w:val="zh-CN"/>
        </w:rPr>
      </w:pPr>
      <w:r>
        <w:rPr>
          <w:rFonts w:hint="eastAsia" w:ascii="仿宋" w:hAnsi="仿宋" w:eastAsia="仿宋" w:cs="仿宋"/>
          <w:b/>
          <w:lang w:val="zh-CN"/>
        </w:rPr>
        <w:t>一、项目概况及质量要求</w:t>
      </w:r>
    </w:p>
    <w:p>
      <w:pPr>
        <w:widowControl/>
        <w:snapToGrid w:val="0"/>
        <w:spacing w:line="360" w:lineRule="auto"/>
        <w:ind w:firstLine="480" w:firstLineChars="200"/>
        <w:jc w:val="left"/>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1.项目概况：</w:t>
      </w:r>
      <w:r>
        <w:rPr>
          <w:rFonts w:hint="eastAsia" w:ascii="仿宋" w:hAnsi="仿宋" w:eastAsia="仿宋" w:cs="仿宋"/>
          <w:color w:val="000000"/>
          <w:kern w:val="0"/>
          <w:sz w:val="24"/>
          <w:szCs w:val="24"/>
        </w:rPr>
        <w:t>湖南科技学院学生公寓、学生食堂建设项目建设地址毗邻湖南科技学院南大门，位于老207国道以南、朝阳大道以北，由一栋11层的学生公寓和1栋四层的学生食堂组成，总建筑面积24210.98m</w:t>
      </w:r>
      <w:r>
        <w:rPr>
          <w:rFonts w:hint="eastAsia" w:ascii="仿宋" w:hAnsi="仿宋" w:eastAsia="仿宋" w:cs="仿宋"/>
          <w:color w:val="000000"/>
          <w:kern w:val="0"/>
          <w:sz w:val="24"/>
          <w:szCs w:val="24"/>
          <w:vertAlign w:val="superscript"/>
        </w:rPr>
        <w:t>2</w:t>
      </w:r>
      <w:r>
        <w:rPr>
          <w:rFonts w:hint="eastAsia" w:ascii="仿宋" w:hAnsi="仿宋" w:eastAsia="仿宋" w:cs="仿宋"/>
          <w:color w:val="000000"/>
          <w:kern w:val="0"/>
          <w:sz w:val="24"/>
          <w:szCs w:val="24"/>
        </w:rPr>
        <w:t>。其中学生公寓建筑面积18642.58 m</w:t>
      </w:r>
      <w:r>
        <w:rPr>
          <w:rFonts w:hint="eastAsia" w:ascii="仿宋" w:hAnsi="仿宋" w:eastAsia="仿宋" w:cs="仿宋"/>
          <w:color w:val="000000"/>
          <w:kern w:val="0"/>
          <w:sz w:val="24"/>
          <w:szCs w:val="24"/>
          <w:vertAlign w:val="superscript"/>
        </w:rPr>
        <w:t>2</w:t>
      </w:r>
      <w:r>
        <w:rPr>
          <w:rFonts w:hint="eastAsia" w:ascii="仿宋" w:hAnsi="仿宋" w:eastAsia="仿宋" w:cs="仿宋"/>
          <w:color w:val="000000"/>
          <w:kern w:val="0"/>
          <w:sz w:val="24"/>
          <w:szCs w:val="24"/>
        </w:rPr>
        <w:t>，学生食堂建筑面积5568.4 m</w:t>
      </w:r>
      <w:r>
        <w:rPr>
          <w:rFonts w:hint="eastAsia" w:ascii="仿宋" w:hAnsi="仿宋" w:eastAsia="仿宋" w:cs="仿宋"/>
          <w:color w:val="000000"/>
          <w:kern w:val="0"/>
          <w:sz w:val="24"/>
          <w:szCs w:val="24"/>
          <w:vertAlign w:val="superscript"/>
        </w:rPr>
        <w:t>2</w:t>
      </w:r>
      <w:r>
        <w:rPr>
          <w:rFonts w:hint="eastAsia" w:ascii="仿宋" w:hAnsi="仿宋" w:eastAsia="仿宋" w:cs="仿宋"/>
          <w:color w:val="000000"/>
          <w:kern w:val="0"/>
          <w:sz w:val="24"/>
          <w:szCs w:val="24"/>
        </w:rPr>
        <w:t>，项目投资估算9593万元。</w:t>
      </w:r>
    </w:p>
    <w:p>
      <w:pPr>
        <w:tabs>
          <w:tab w:val="left" w:pos="6159"/>
        </w:tabs>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2.成果质量：工程造价咨询成果文件格式和质量要求符合中价协《建设工程造价咨询成果文件质量标准》。</w:t>
      </w:r>
    </w:p>
    <w:p>
      <w:pPr>
        <w:widowControl/>
        <w:snapToGrid w:val="0"/>
        <w:spacing w:line="360" w:lineRule="auto"/>
        <w:ind w:firstLine="482" w:firstLineChars="200"/>
        <w:jc w:val="left"/>
        <w:rPr>
          <w:rFonts w:ascii="仿宋" w:hAnsi="仿宋" w:eastAsia="仿宋" w:cs="仿宋"/>
          <w:b/>
          <w:kern w:val="0"/>
          <w:sz w:val="24"/>
          <w:szCs w:val="24"/>
          <w:lang w:val="zh-CN"/>
        </w:rPr>
      </w:pPr>
      <w:r>
        <w:rPr>
          <w:rFonts w:hint="eastAsia" w:ascii="仿宋" w:hAnsi="仿宋" w:eastAsia="仿宋" w:cs="仿宋"/>
          <w:b/>
          <w:kern w:val="0"/>
          <w:sz w:val="24"/>
          <w:szCs w:val="24"/>
          <w:lang w:val="zh-CN"/>
        </w:rPr>
        <w:t>二、服务承包范围及内容</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（一）服务承包范围：</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1.根据初步设计和施工设计图纸进行预算编制，包含但不限于：</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（1）确定工程量清单编制及计价依据；</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（2）了解招标要求和项目周边环境；</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（3）整理工程量清单编制基础资料；主要材料设备询价；确定工料机价格；</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（4）分析工程设计，确定施工方案；</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（5）列项，确定项目编码、计量单位、描述特征；</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（6）计价依据有缺项的，补充缺项的计量规则；</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（7）进行工程计量；清单项目计价；</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（8）依据常规施工方案，列出措施项目；</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（9）编写编制说明，出具工程量清单；出具计价成果文件；</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（10）计算并分析主要工程量指标；</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（11）分析工程量、工程设计等变化风险，提出有效控制工程造价的建议。</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2.按照甲方要求配合甲方完成湖南省财政厅财政评审中心评审等；</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3.参加涉及工程造价的相关会议。</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（二）服务内容：</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1.按委托人提供的初步设计和施工设计图纸编制项目的预算和工程量清单。</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清单编制前，应仔细阅读设计说明，总平面图、平立剖面图、大样图等，对图纸存在设计深度不够、表述不清的问题要及时反映；避免因设计图纸不详，成为投标人作为清单漏项、变更单价的理由。阅读图纸中常见的问题主要有：同一内容多处表达不一致；做法不完善、材质、规格、厚度等不明确；材料名称、型号、规格是否明确；主材材质和安装方式是否明确；新型的材料是否有专门的安装要求和技术说明；是否有详图或大样图等。</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3.合理进行分部分项工程量清单列项。</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分部分项工程量清单子目的列项，应注意对应清单编码所包含的工作内容。必要时可根据工程计价的实际要求与合同约定条件对清单作适当调整，对清单列项进行合理的二次拆分或整合。</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分部分项工程量清单项目拆分工程量清单中，有些清单子项的综合范围较大，在实际施工中，如果其中某一程序发生变化将导致整个子项单价的变化。为避免此种现象，在清单列项时需要进行合理的二次拆分，以满足后期施工承包方履约施工的要求。</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分部分项工程量清单项目整合时，为适应工序复杂但计量单位明确的项目要求，必要时也可对工程量清单项目进行整合。投标人在进行投标报价时可直接对整合过的清单进行报价。</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4.准确进行项目特征描述。</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工程量清单中的特征描述是工程量清单的核心内容。分部分项工程量清单特征描述应准确、全面、完整。在编制清单时，应明确对清单项目的质量、材料、施工顺序、施工方法的特殊要求，投标人自行采购的材料或设备名称、规格、型号、数量等，项目特征的明确应同样有利于工程结算，避免结算时存在项目划分的争议。应特别注意以下几点：</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1）如遇需将不同规格、颜色的材料列入同一工程量清单项目时，应进行详细描述（如服务台弧形及直线部分等）。</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2）如果编制者出于某种合理考虑，将清单项目进行整合或修改后，所需工作内容未包含在规范内的则须在项目特征中进行系统描述（如防水涂料的厚度等）。</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3）注意清单中所描述材料型号的通用性，避免描述内容的单一性。</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充分理解设计要求，将其通过清单项目特征描述全面完整的表现出来。在编制过程中如遇到设计图纸深度不够或其它原因，对工程要求的材料标准和设备选型等内容交待较为模糊，应及时向设计单位反映并提出合理化建议，以弥补现行定额的现阶段缺少的项目。</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5.准确计算工程量，明确计量规则及计量单位。</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1）工程量清单项目主要按照部位、功能、材料、工艺系统进行项目划分。对于拆分或整合过的工程量清单项目计量规则和计量单位应在投标文件的相应章节中作出详细说明。</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2）计算实物工程量</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工程量清单中的数量是按照设计图纸所示，按净尺寸计算，不包括任何工程量和材料的损耗。应逐项认真准确计算，确保实物量的准确性。</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6.根据委托人指定的计价规则、价目表及相关费用文件编制工程预算和工程量清单。 </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7.按照甲方要求咨询方填写的各类表格提供项目工程的工程量。</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8.在合同约定的时间内提供预算编制纸质文档与电子文档，主要工程量提供广联达软件图形算量（零星构件可不用图形计算），并提供广联达软件计算成果。</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9.工程预算汇总表（含包干费、规费、单位工程汇总表、单项工程汇总表等主要材料汇总表）。 </w:t>
      </w:r>
    </w:p>
    <w:p>
      <w:pPr>
        <w:snapToGrid w:val="0"/>
        <w:spacing w:line="360" w:lineRule="auto"/>
        <w:rPr>
          <w:rFonts w:ascii="仿宋" w:hAnsi="仿宋" w:eastAsia="仿宋" w:cs="仿宋"/>
          <w:sz w:val="24"/>
          <w:szCs w:val="24"/>
        </w:rPr>
      </w:pPr>
      <w:r>
        <w:rPr>
          <w:rFonts w:hint="eastAsia" w:ascii="仿宋" w:hAnsi="仿宋" w:eastAsia="仿宋" w:cs="仿宋"/>
          <w:sz w:val="24"/>
          <w:szCs w:val="24"/>
        </w:rPr>
        <w:t>（三）总体服务要求：</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1.供应商应委派有经验的造价师参与项目团队，明确项目负责人对造价咨询项目的质量负主要责任，保证成果文件质量；</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2.正式成果文件必须满足委托人要求；</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供应商应提供工程量计算底稿或有关计算依据，保证工程量计算准确并具备可追溯性；所有造价咨询服务成果性文件（含纸质版、电子版，且内容须一致、准确）均须按委托人指定时间、指定方式、指定数量，移交给委托人；</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4.供应商须有严格的内审制度，对成果文件要组织内审，应该确保成果文件的正确性、完整性、一致性、客观性；</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5.供应商的工作质量和成果对委托人负责，进场后由委托人进行项目情况交底，供应商根据交底情况修改完善服务方案，服务过程中的重大问题要及时征求委托人意见；</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6.体现服务意识，积极主动；</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7.坚持职业操守，规范行为准则，客观、公正给出恰当的建议。</w:t>
      </w:r>
    </w:p>
    <w:p>
      <w:pPr>
        <w:widowControl/>
        <w:snapToGrid w:val="0"/>
        <w:spacing w:line="360" w:lineRule="auto"/>
        <w:ind w:firstLine="482" w:firstLineChars="200"/>
        <w:jc w:val="left"/>
        <w:rPr>
          <w:rFonts w:ascii="仿宋" w:hAnsi="仿宋" w:eastAsia="仿宋" w:cs="仿宋"/>
          <w:b/>
          <w:kern w:val="0"/>
          <w:sz w:val="24"/>
          <w:szCs w:val="24"/>
          <w:lang w:val="zh-CN"/>
        </w:rPr>
      </w:pPr>
      <w:r>
        <w:rPr>
          <w:rFonts w:hint="eastAsia" w:ascii="仿宋" w:hAnsi="仿宋" w:eastAsia="仿宋" w:cs="仿宋"/>
          <w:b/>
          <w:kern w:val="0"/>
          <w:sz w:val="24"/>
          <w:szCs w:val="24"/>
          <w:lang w:val="zh-CN"/>
        </w:rPr>
        <w:t>三、其他要求</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1.中标人必须遵守采购人提出的各项规章制度和廉政纪律、保密规定和要求,按照采购人提出的工作规程和要求开展编审工作,中标人须配合采购人做好工程中标单位负责人和技术负责人的定期培训工作。</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2.中标人不得拒绝所服务项目的预算编制任务,否则采购人有权取消其服务资格。</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3.采购人将对中标人完成的预算编制成果进行稽核、复审并进行考核,中标人必须无条件配合采购人的稽核和复审、考核工作。</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4.中标人不得再接受除采购人外的其他委托人对所审同一项目的服务委托,即不能就同一项目既接受采购人的委托,又接受项目采购人、承包单位等相对利益关系人的委托。</w:t>
      </w:r>
    </w:p>
    <w:p>
      <w:pPr>
        <w:widowControl/>
        <w:snapToGrid w:val="0"/>
        <w:spacing w:line="360" w:lineRule="auto"/>
        <w:ind w:firstLine="482" w:firstLineChars="200"/>
        <w:jc w:val="left"/>
        <w:rPr>
          <w:rFonts w:ascii="仿宋" w:hAnsi="仿宋" w:eastAsia="仿宋" w:cs="仿宋"/>
          <w:b/>
          <w:kern w:val="0"/>
          <w:sz w:val="24"/>
          <w:szCs w:val="24"/>
          <w:lang w:val="zh-CN"/>
        </w:rPr>
      </w:pPr>
      <w:r>
        <w:rPr>
          <w:rFonts w:hint="eastAsia" w:ascii="仿宋" w:hAnsi="仿宋" w:eastAsia="仿宋" w:cs="仿宋"/>
          <w:b/>
          <w:kern w:val="0"/>
          <w:sz w:val="24"/>
          <w:szCs w:val="24"/>
          <w:lang w:val="zh-CN"/>
        </w:rPr>
        <w:t>四、其他说明</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1.投标人为本项目配备的队伍相对稳定，且不能更换，项目团队须全程参与工作，不得挂名参与投标。</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2.中标人如若发现有提供虚假证明资料，将取消中标人资格。</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3.投标人应具备独立承担完成所投标项目的能力，不得将中标项目进行转包或分包。</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4.投标人在投标前，如须踏勘现场，有关费用自理，踏勘期间发生的意外自负。</w:t>
      </w:r>
    </w:p>
    <w:p>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5.本项目采用费用包干方式，中标单位完成预算编制所需的所有成本均由中标人支付，采购人不再支付任何费用。</w:t>
      </w:r>
    </w:p>
    <w:p>
      <w:pPr>
        <w:pStyle w:val="15"/>
        <w:snapToGrid w:val="0"/>
        <w:spacing w:before="0" w:beforeAutospacing="0" w:after="0" w:afterAutospacing="0" w:line="360" w:lineRule="auto"/>
        <w:ind w:firstLine="560" w:firstLineChars="200"/>
        <w:rPr>
          <w:rFonts w:ascii="仿宋" w:hAnsi="仿宋" w:eastAsia="仿宋" w:cs="仿宋"/>
          <w:sz w:val="28"/>
          <w:szCs w:val="28"/>
          <w:shd w:val="clear" w:color="auto" w:fill="FFFFFF"/>
        </w:rPr>
      </w:pPr>
    </w:p>
    <w:p>
      <w:pPr>
        <w:pStyle w:val="16"/>
        <w:snapToGrid w:val="0"/>
        <w:spacing w:before="200" w:after="120" w:line="360" w:lineRule="auto"/>
        <w:jc w:val="both"/>
        <w:rPr>
          <w:rFonts w:ascii="仿宋" w:hAnsi="仿宋" w:eastAsia="仿宋" w:cs="仿宋"/>
        </w:rPr>
      </w:pPr>
    </w:p>
    <w:p>
      <w:pPr>
        <w:snapToGrid w:val="0"/>
        <w:spacing w:line="360" w:lineRule="auto"/>
        <w:rPr>
          <w:rFonts w:ascii="仿宋" w:hAnsi="仿宋" w:eastAsia="仿宋" w:cs="仿宋"/>
        </w:rPr>
      </w:pPr>
    </w:p>
    <w:p>
      <w:pPr>
        <w:pStyle w:val="24"/>
        <w:snapToGrid w:val="0"/>
        <w:spacing w:line="360" w:lineRule="auto"/>
        <w:rPr>
          <w:rFonts w:ascii="仿宋" w:hAnsi="仿宋" w:eastAsia="仿宋" w:cs="仿宋"/>
        </w:rPr>
      </w:pPr>
    </w:p>
    <w:p>
      <w:pPr>
        <w:snapToGrid w:val="0"/>
        <w:spacing w:line="360" w:lineRule="auto"/>
        <w:rPr>
          <w:rFonts w:ascii="仿宋" w:hAnsi="仿宋" w:eastAsia="仿宋"/>
        </w:rPr>
      </w:pPr>
    </w:p>
    <w:p>
      <w:pPr>
        <w:pStyle w:val="16"/>
        <w:snapToGrid w:val="0"/>
        <w:spacing w:before="200" w:after="120" w:line="360" w:lineRule="auto"/>
        <w:ind w:firstLine="2891" w:firstLineChars="900"/>
        <w:jc w:val="both"/>
        <w:rPr>
          <w:rFonts w:ascii="仿宋" w:hAnsi="仿宋" w:eastAsia="仿宋" w:cs="仿宋"/>
        </w:rPr>
      </w:pPr>
    </w:p>
    <w:p>
      <w:pPr>
        <w:snapToGrid w:val="0"/>
        <w:spacing w:line="360" w:lineRule="auto"/>
        <w:rPr>
          <w:rFonts w:ascii="仿宋" w:hAnsi="仿宋" w:eastAsia="仿宋"/>
        </w:rPr>
      </w:pPr>
      <w:r>
        <w:rPr>
          <w:rFonts w:hint="eastAsia" w:ascii="仿宋" w:hAnsi="仿宋" w:eastAsia="仿宋"/>
          <w:kern w:val="0"/>
        </w:rPr>
        <w:br w:type="page"/>
      </w:r>
    </w:p>
    <w:p>
      <w:pPr>
        <w:pStyle w:val="16"/>
        <w:snapToGrid w:val="0"/>
        <w:spacing w:before="200" w:after="120" w:line="360" w:lineRule="auto"/>
        <w:ind w:firstLine="2891" w:firstLineChars="900"/>
        <w:jc w:val="both"/>
        <w:rPr>
          <w:rFonts w:ascii="仿宋" w:hAnsi="仿宋" w:eastAsia="仿宋" w:cs="宋体"/>
          <w:bCs w:val="0"/>
          <w:kern w:val="0"/>
        </w:rPr>
      </w:pPr>
      <w:r>
        <w:rPr>
          <w:rFonts w:hint="eastAsia" w:ascii="仿宋" w:hAnsi="仿宋" w:eastAsia="仿宋" w:cs="宋体"/>
          <w:bCs w:val="0"/>
          <w:kern w:val="0"/>
        </w:rPr>
        <w:t>第四章  报价表</w:t>
      </w:r>
    </w:p>
    <w:p>
      <w:pPr>
        <w:pStyle w:val="25"/>
        <w:tabs>
          <w:tab w:val="left" w:pos="-180"/>
        </w:tabs>
        <w:snapToGrid w:val="0"/>
        <w:spacing w:line="360" w:lineRule="auto"/>
        <w:ind w:firstLine="0" w:firstLineChars="0"/>
        <w:jc w:val="left"/>
        <w:rPr>
          <w:rFonts w:ascii="仿宋" w:hAnsi="仿宋" w:eastAsia="仿宋"/>
          <w:b/>
          <w:sz w:val="28"/>
          <w:szCs w:val="28"/>
        </w:rPr>
      </w:pPr>
    </w:p>
    <w:p>
      <w:pPr>
        <w:pStyle w:val="25"/>
        <w:tabs>
          <w:tab w:val="left" w:pos="-180"/>
        </w:tabs>
        <w:snapToGrid w:val="0"/>
        <w:spacing w:line="360" w:lineRule="auto"/>
        <w:ind w:firstLine="0" w:firstLineChars="0"/>
        <w:jc w:val="left"/>
        <w:rPr>
          <w:rFonts w:ascii="仿宋" w:hAnsi="仿宋" w:eastAsia="仿宋"/>
          <w:b/>
          <w:sz w:val="28"/>
          <w:szCs w:val="28"/>
          <w:u w:val="single"/>
        </w:rPr>
      </w:pPr>
      <w:r>
        <w:rPr>
          <w:rFonts w:hint="eastAsia" w:ascii="仿宋" w:hAnsi="仿宋" w:eastAsia="仿宋"/>
          <w:b/>
          <w:sz w:val="28"/>
          <w:szCs w:val="28"/>
        </w:rPr>
        <w:t>项目名称：</w:t>
      </w:r>
      <w:r>
        <w:rPr>
          <w:rFonts w:hint="eastAsia" w:ascii="仿宋" w:hAnsi="仿宋" w:eastAsia="仿宋"/>
          <w:bCs/>
          <w:sz w:val="28"/>
          <w:szCs w:val="28"/>
          <w:u w:val="single"/>
        </w:rPr>
        <w:t>湖南科技学院学生公寓、学生食堂建设项目预算编制</w:t>
      </w:r>
    </w:p>
    <w:tbl>
      <w:tblPr>
        <w:tblStyle w:val="19"/>
        <w:tblW w:w="8879" w:type="dxa"/>
        <w:tblInd w:w="0" w:type="dxa"/>
        <w:tblLayout w:type="fixed"/>
        <w:tblCellMar>
          <w:top w:w="0" w:type="dxa"/>
          <w:left w:w="108" w:type="dxa"/>
          <w:bottom w:w="0" w:type="dxa"/>
          <w:right w:w="108" w:type="dxa"/>
        </w:tblCellMar>
      </w:tblPr>
      <w:tblGrid>
        <w:gridCol w:w="3625"/>
        <w:gridCol w:w="1202"/>
        <w:gridCol w:w="1403"/>
        <w:gridCol w:w="2649"/>
      </w:tblGrid>
      <w:tr>
        <w:tblPrEx>
          <w:tblCellMar>
            <w:top w:w="0" w:type="dxa"/>
            <w:left w:w="108" w:type="dxa"/>
            <w:bottom w:w="0" w:type="dxa"/>
            <w:right w:w="108" w:type="dxa"/>
          </w:tblCellMar>
        </w:tblPrEx>
        <w:trPr>
          <w:trHeight w:val="1337" w:hRule="atLeast"/>
        </w:trPr>
        <w:tc>
          <w:tcPr>
            <w:tcW w:w="36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jc w:val="center"/>
              <w:textAlignment w:val="center"/>
              <w:rPr>
                <w:rFonts w:ascii="仿宋" w:hAnsi="仿宋" w:eastAsia="仿宋"/>
                <w:szCs w:val="22"/>
              </w:rPr>
            </w:pPr>
            <w:r>
              <w:rPr>
                <w:rFonts w:hint="eastAsia" w:ascii="仿宋" w:hAnsi="仿宋" w:eastAsia="仿宋" w:cs="仿宋"/>
                <w:b/>
                <w:bCs/>
                <w:color w:val="000000"/>
                <w:kern w:val="0"/>
                <w:sz w:val="28"/>
                <w:szCs w:val="28"/>
                <w:lang w:bidi="ar"/>
              </w:rPr>
              <w:t>项目名称</w:t>
            </w:r>
          </w:p>
        </w:tc>
        <w:tc>
          <w:tcPr>
            <w:tcW w:w="1202"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line="360" w:lineRule="auto"/>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数量</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单位</w:t>
            </w:r>
          </w:p>
        </w:tc>
        <w:tc>
          <w:tcPr>
            <w:tcW w:w="2649" w:type="dxa"/>
            <w:tcBorders>
              <w:top w:val="single" w:color="000000" w:sz="4" w:space="0"/>
              <w:left w:val="single" w:color="auto" w:sz="4" w:space="0"/>
              <w:bottom w:val="single" w:color="000000" w:sz="4" w:space="0"/>
              <w:right w:val="single" w:color="auto" w:sz="4" w:space="0"/>
            </w:tcBorders>
            <w:vAlign w:val="center"/>
          </w:tcPr>
          <w:p>
            <w:pPr>
              <w:widowControl/>
              <w:snapToGrid w:val="0"/>
              <w:spacing w:line="360" w:lineRule="auto"/>
              <w:jc w:val="center"/>
              <w:textAlignment w:val="center"/>
              <w:rPr>
                <w:rFonts w:ascii="仿宋" w:hAnsi="仿宋" w:eastAsia="仿宋" w:cs="仿宋"/>
                <w:b/>
                <w:bCs/>
                <w:color w:val="000000"/>
                <w:sz w:val="28"/>
                <w:szCs w:val="28"/>
              </w:rPr>
            </w:pPr>
            <w:r>
              <w:rPr>
                <w:rFonts w:hint="eastAsia" w:ascii="仿宋" w:hAnsi="仿宋" w:eastAsia="仿宋" w:cs="仿宋"/>
                <w:b/>
                <w:bCs/>
                <w:sz w:val="28"/>
                <w:szCs w:val="28"/>
              </w:rPr>
              <w:t>报价</w:t>
            </w:r>
          </w:p>
        </w:tc>
      </w:tr>
      <w:tr>
        <w:tblPrEx>
          <w:tblCellMar>
            <w:top w:w="0" w:type="dxa"/>
            <w:left w:w="108" w:type="dxa"/>
            <w:bottom w:w="0" w:type="dxa"/>
            <w:right w:w="108" w:type="dxa"/>
          </w:tblCellMar>
        </w:tblPrEx>
        <w:trPr>
          <w:trHeight w:val="1004" w:hRule="atLeast"/>
        </w:trPr>
        <w:tc>
          <w:tcPr>
            <w:tcW w:w="36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ind w:left="280" w:hanging="280" w:hangingChars="100"/>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湖南科技学院学生公寓、学生食堂建设项目预算编制</w:t>
            </w:r>
          </w:p>
        </w:tc>
        <w:tc>
          <w:tcPr>
            <w:tcW w:w="1202"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line="360" w:lineRule="auto"/>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项</w:t>
            </w:r>
          </w:p>
        </w:tc>
        <w:tc>
          <w:tcPr>
            <w:tcW w:w="2649" w:type="dxa"/>
            <w:tcBorders>
              <w:top w:val="single" w:color="000000" w:sz="4" w:space="0"/>
              <w:left w:val="single" w:color="auto" w:sz="4" w:space="0"/>
              <w:bottom w:val="single" w:color="auto" w:sz="4" w:space="0"/>
              <w:right w:val="single" w:color="auto" w:sz="4" w:space="0"/>
            </w:tcBorders>
            <w:vAlign w:val="center"/>
          </w:tcPr>
          <w:p>
            <w:pPr>
              <w:widowControl/>
              <w:snapToGrid w:val="0"/>
              <w:spacing w:line="360" w:lineRule="auto"/>
              <w:jc w:val="center"/>
              <w:textAlignment w:val="center"/>
              <w:rPr>
                <w:rFonts w:ascii="仿宋" w:hAnsi="仿宋" w:eastAsia="仿宋" w:cs="仿宋"/>
                <w:color w:val="000000"/>
                <w:sz w:val="28"/>
                <w:szCs w:val="28"/>
              </w:rPr>
            </w:pPr>
          </w:p>
          <w:p>
            <w:pPr>
              <w:pStyle w:val="24"/>
              <w:snapToGrid w:val="0"/>
              <w:spacing w:line="360" w:lineRule="auto"/>
              <w:rPr>
                <w:rFonts w:ascii="仿宋" w:hAnsi="仿宋" w:eastAsia="仿宋"/>
              </w:rPr>
            </w:pPr>
          </w:p>
        </w:tc>
      </w:tr>
      <w:tr>
        <w:tblPrEx>
          <w:tblCellMar>
            <w:top w:w="0" w:type="dxa"/>
            <w:left w:w="108" w:type="dxa"/>
            <w:bottom w:w="0" w:type="dxa"/>
            <w:right w:w="108" w:type="dxa"/>
          </w:tblCellMar>
        </w:tblPrEx>
        <w:trPr>
          <w:trHeight w:val="1016" w:hRule="atLeast"/>
        </w:trPr>
        <w:tc>
          <w:tcPr>
            <w:tcW w:w="36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ind w:left="280" w:hanging="280" w:hangingChars="100"/>
              <w:jc w:val="center"/>
              <w:textAlignment w:val="center"/>
              <w:rPr>
                <w:rFonts w:ascii="仿宋" w:hAnsi="仿宋" w:eastAsia="仿宋"/>
                <w:color w:val="000000"/>
                <w:kern w:val="0"/>
                <w:sz w:val="28"/>
                <w:szCs w:val="28"/>
              </w:rPr>
            </w:pPr>
            <w:r>
              <w:rPr>
                <w:rFonts w:hint="eastAsia" w:ascii="仿宋" w:hAnsi="仿宋" w:eastAsia="仿宋"/>
                <w:color w:val="000000"/>
                <w:kern w:val="0"/>
                <w:sz w:val="28"/>
                <w:szCs w:val="28"/>
              </w:rPr>
              <w:t>报价（大写）</w:t>
            </w:r>
          </w:p>
        </w:tc>
        <w:tc>
          <w:tcPr>
            <w:tcW w:w="5254" w:type="dxa"/>
            <w:gridSpan w:val="3"/>
            <w:tcBorders>
              <w:top w:val="single" w:color="000000" w:sz="4" w:space="0"/>
              <w:left w:val="single" w:color="000000" w:sz="4" w:space="0"/>
              <w:bottom w:val="single" w:color="000000" w:sz="4" w:space="0"/>
              <w:right w:val="single" w:color="auto" w:sz="4" w:space="0"/>
            </w:tcBorders>
            <w:noWrap/>
            <w:vAlign w:val="center"/>
          </w:tcPr>
          <w:p>
            <w:pPr>
              <w:widowControl/>
              <w:snapToGrid w:val="0"/>
              <w:spacing w:line="360" w:lineRule="auto"/>
              <w:jc w:val="center"/>
              <w:textAlignment w:val="center"/>
              <w:rPr>
                <w:rFonts w:ascii="仿宋" w:hAnsi="仿宋" w:eastAsia="仿宋" w:cs="仿宋"/>
                <w:color w:val="000000"/>
                <w:sz w:val="28"/>
                <w:szCs w:val="28"/>
              </w:rPr>
            </w:pPr>
          </w:p>
        </w:tc>
      </w:tr>
    </w:tbl>
    <w:p>
      <w:pPr>
        <w:pStyle w:val="25"/>
        <w:snapToGrid w:val="0"/>
        <w:spacing w:line="360" w:lineRule="auto"/>
        <w:ind w:firstLine="0" w:firstLineChars="0"/>
        <w:jc w:val="left"/>
        <w:rPr>
          <w:rFonts w:ascii="仿宋" w:hAnsi="仿宋" w:eastAsia="仿宋" w:cs="仿宋"/>
          <w:b/>
          <w:bCs/>
          <w:color w:val="000000"/>
          <w:kern w:val="0"/>
          <w:sz w:val="28"/>
          <w:szCs w:val="28"/>
        </w:rPr>
      </w:pPr>
    </w:p>
    <w:p>
      <w:pPr>
        <w:pStyle w:val="25"/>
        <w:snapToGrid w:val="0"/>
        <w:spacing w:line="360" w:lineRule="auto"/>
        <w:ind w:firstLine="560"/>
        <w:jc w:val="left"/>
        <w:rPr>
          <w:rFonts w:ascii="仿宋" w:hAnsi="仿宋" w:eastAsia="仿宋" w:cs="仿宋"/>
          <w:color w:val="000000"/>
          <w:kern w:val="0"/>
          <w:sz w:val="28"/>
          <w:szCs w:val="28"/>
        </w:rPr>
      </w:pPr>
    </w:p>
    <w:p>
      <w:pPr>
        <w:pStyle w:val="25"/>
        <w:snapToGrid w:val="0"/>
        <w:spacing w:line="360" w:lineRule="auto"/>
        <w:ind w:firstLine="560"/>
        <w:jc w:val="left"/>
        <w:rPr>
          <w:rFonts w:ascii="仿宋" w:hAnsi="仿宋" w:eastAsia="仿宋" w:cs="仿宋"/>
          <w:color w:val="000000"/>
          <w:kern w:val="0"/>
          <w:sz w:val="28"/>
          <w:szCs w:val="28"/>
        </w:rPr>
      </w:pPr>
    </w:p>
    <w:p>
      <w:pPr>
        <w:pStyle w:val="15"/>
        <w:shd w:val="clear" w:color="auto" w:fill="FFFFFF"/>
        <w:snapToGrid w:val="0"/>
        <w:spacing w:before="150" w:beforeAutospacing="0" w:after="0" w:afterAutospacing="0" w:line="360" w:lineRule="auto"/>
        <w:ind w:firstLine="3345" w:firstLineChars="1190"/>
        <w:jc w:val="both"/>
        <w:rPr>
          <w:rFonts w:ascii="仿宋" w:hAnsi="仿宋" w:eastAsia="仿宋" w:cs="Arial"/>
          <w:b/>
          <w:color w:val="222222"/>
          <w:sz w:val="28"/>
          <w:szCs w:val="28"/>
        </w:rPr>
      </w:pPr>
    </w:p>
    <w:p>
      <w:pPr>
        <w:pStyle w:val="15"/>
        <w:shd w:val="clear" w:color="auto" w:fill="FFFFFF"/>
        <w:snapToGrid w:val="0"/>
        <w:spacing w:before="150" w:beforeAutospacing="0" w:after="0" w:afterAutospacing="0" w:line="360" w:lineRule="auto"/>
        <w:ind w:firstLine="3345" w:firstLineChars="1190"/>
        <w:jc w:val="both"/>
        <w:rPr>
          <w:rFonts w:ascii="仿宋" w:hAnsi="仿宋" w:eastAsia="仿宋" w:cs="Arial"/>
          <w:b/>
          <w:color w:val="222222"/>
          <w:sz w:val="28"/>
          <w:szCs w:val="28"/>
        </w:rPr>
      </w:pPr>
    </w:p>
    <w:p>
      <w:pPr>
        <w:pStyle w:val="15"/>
        <w:shd w:val="clear" w:color="auto" w:fill="FFFFFF"/>
        <w:snapToGrid w:val="0"/>
        <w:spacing w:before="150" w:beforeAutospacing="0" w:after="0" w:afterAutospacing="0" w:line="360" w:lineRule="auto"/>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5"/>
        <w:shd w:val="clear" w:color="auto" w:fill="FFFFFF"/>
        <w:snapToGrid w:val="0"/>
        <w:spacing w:before="150" w:beforeAutospacing="0" w:after="0" w:afterAutospacing="0" w:line="360" w:lineRule="auto"/>
        <w:ind w:firstLine="1661" w:firstLineChars="591"/>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5"/>
        <w:shd w:val="clear" w:color="auto" w:fill="FFFFFF"/>
        <w:snapToGrid w:val="0"/>
        <w:spacing w:before="150" w:beforeAutospacing="0" w:after="0" w:afterAutospacing="0" w:line="360" w:lineRule="auto"/>
        <w:ind w:firstLine="3623" w:firstLineChars="1289"/>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5"/>
        <w:shd w:val="clear" w:color="auto" w:fill="FFFFFF"/>
        <w:snapToGrid w:val="0"/>
        <w:spacing w:before="150" w:beforeAutospacing="0" w:after="0" w:afterAutospacing="0" w:line="360" w:lineRule="auto"/>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pStyle w:val="15"/>
        <w:shd w:val="clear" w:color="auto" w:fill="FFFFFF"/>
        <w:snapToGrid w:val="0"/>
        <w:spacing w:before="150" w:beforeAutospacing="0" w:after="0" w:afterAutospacing="0" w:line="360" w:lineRule="auto"/>
        <w:jc w:val="both"/>
        <w:rPr>
          <w:rFonts w:ascii="仿宋" w:hAnsi="仿宋" w:eastAsia="仿宋" w:cs="Arial"/>
          <w:b/>
          <w:color w:val="222222"/>
        </w:rPr>
      </w:pPr>
    </w:p>
    <w:p>
      <w:pPr>
        <w:pStyle w:val="15"/>
        <w:shd w:val="clear" w:color="auto" w:fill="FFFFFF"/>
        <w:snapToGrid w:val="0"/>
        <w:spacing w:before="150" w:beforeAutospacing="0" w:after="0" w:afterAutospacing="0" w:line="360" w:lineRule="auto"/>
        <w:ind w:firstLine="5762" w:firstLineChars="2050"/>
        <w:jc w:val="both"/>
        <w:rPr>
          <w:rFonts w:ascii="仿宋" w:hAnsi="仿宋" w:eastAsia="仿宋" w:cs="Arial"/>
          <w:b/>
          <w:color w:val="222222"/>
          <w:sz w:val="28"/>
          <w:szCs w:val="28"/>
        </w:rPr>
      </w:pPr>
      <w:r>
        <w:rPr>
          <w:rFonts w:hint="eastAsia" w:ascii="仿宋" w:hAnsi="仿宋" w:eastAsia="仿宋" w:cs="Arial"/>
          <w:b/>
          <w:color w:val="222222"/>
          <w:sz w:val="28"/>
          <w:szCs w:val="28"/>
        </w:rPr>
        <w:t>年    月    日</w:t>
      </w:r>
    </w:p>
    <w:p>
      <w:pPr>
        <w:widowControl/>
        <w:shd w:val="clear" w:color="auto" w:fill="FFFFFF"/>
        <w:snapToGrid w:val="0"/>
        <w:spacing w:before="150" w:line="360" w:lineRule="auto"/>
        <w:ind w:firstLine="1680" w:firstLineChars="800"/>
        <w:rPr>
          <w:rFonts w:ascii="仿宋" w:hAnsi="仿宋" w:eastAsia="仿宋" w:cs="仿宋"/>
        </w:rPr>
      </w:pPr>
    </w:p>
    <w:p>
      <w:pPr>
        <w:widowControl/>
        <w:shd w:val="clear" w:color="auto" w:fill="FFFFFF"/>
        <w:snapToGrid w:val="0"/>
        <w:spacing w:before="150" w:line="360" w:lineRule="auto"/>
        <w:ind w:firstLine="1680" w:firstLineChars="800"/>
        <w:rPr>
          <w:rFonts w:ascii="仿宋" w:hAnsi="仿宋" w:eastAsia="仿宋" w:cs="仿宋"/>
        </w:rPr>
      </w:pPr>
      <w:r>
        <w:rPr>
          <w:rFonts w:hint="eastAsia" w:ascii="仿宋" w:hAnsi="仿宋" w:eastAsia="仿宋" w:cs="仿宋"/>
        </w:rPr>
        <w:t xml:space="preserve">  </w:t>
      </w:r>
    </w:p>
    <w:p>
      <w:pPr>
        <w:widowControl/>
        <w:shd w:val="clear" w:color="auto" w:fill="FFFFFF"/>
        <w:snapToGrid w:val="0"/>
        <w:spacing w:before="150" w:line="360" w:lineRule="auto"/>
        <w:ind w:firstLine="2560" w:firstLineChars="800"/>
        <w:rPr>
          <w:rFonts w:ascii="仿宋" w:hAnsi="仿宋" w:eastAsia="仿宋"/>
          <w:b/>
          <w:kern w:val="0"/>
          <w:sz w:val="32"/>
          <w:szCs w:val="32"/>
        </w:rPr>
      </w:pPr>
      <w:r>
        <w:rPr>
          <w:rFonts w:hint="eastAsia" w:ascii="仿宋" w:hAnsi="仿宋" w:eastAsia="仿宋" w:cs="仿宋"/>
          <w:sz w:val="32"/>
          <w:szCs w:val="32"/>
        </w:rPr>
        <w:t xml:space="preserve"> </w:t>
      </w:r>
      <w:r>
        <w:rPr>
          <w:rFonts w:hint="eastAsia" w:ascii="仿宋" w:hAnsi="仿宋" w:eastAsia="仿宋"/>
          <w:b/>
          <w:kern w:val="0"/>
          <w:sz w:val="32"/>
          <w:szCs w:val="32"/>
        </w:rPr>
        <w:t>第五章 评标方法及标准</w:t>
      </w:r>
    </w:p>
    <w:p>
      <w:pPr>
        <w:snapToGrid w:val="0"/>
        <w:spacing w:line="360" w:lineRule="auto"/>
        <w:ind w:firstLine="555"/>
        <w:rPr>
          <w:rFonts w:ascii="仿宋" w:hAnsi="仿宋" w:eastAsia="仿宋"/>
          <w:b/>
          <w:sz w:val="24"/>
          <w:szCs w:val="24"/>
        </w:rPr>
      </w:pPr>
      <w:r>
        <w:rPr>
          <w:rFonts w:hint="eastAsia" w:ascii="仿宋" w:hAnsi="仿宋" w:eastAsia="仿宋"/>
          <w:b/>
          <w:sz w:val="24"/>
          <w:szCs w:val="24"/>
        </w:rPr>
        <w:t>一、评标方法</w:t>
      </w:r>
    </w:p>
    <w:p>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snapToGrid w:val="0"/>
        <w:spacing w:line="360" w:lineRule="auto"/>
        <w:ind w:firstLine="482" w:firstLineChars="200"/>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：价格、技术、商务以及相应的比重或者权值等。</w:t>
      </w:r>
    </w:p>
    <w:p>
      <w:pPr>
        <w:snapToGrid w:val="0"/>
        <w:spacing w:line="360" w:lineRule="auto"/>
        <w:ind w:firstLine="482" w:firstLineChars="200"/>
        <w:rPr>
          <w:rFonts w:ascii="仿宋" w:hAnsi="仿宋" w:eastAsia="仿宋"/>
          <w:b/>
          <w:sz w:val="24"/>
          <w:szCs w:val="24"/>
        </w:rPr>
      </w:pPr>
      <w:r>
        <w:rPr>
          <w:rFonts w:hint="eastAsia" w:ascii="仿宋" w:hAnsi="仿宋" w:eastAsia="仿宋"/>
          <w:b/>
          <w:sz w:val="24"/>
          <w:szCs w:val="24"/>
        </w:rPr>
        <w:t>三、权值范围</w:t>
      </w:r>
    </w:p>
    <w:tbl>
      <w:tblPr>
        <w:tblStyle w:val="19"/>
        <w:tblW w:w="885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4328"/>
        <w:gridCol w:w="3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15" w:type="dxa"/>
            <w:vAlign w:val="center"/>
          </w:tcPr>
          <w:p>
            <w:pPr>
              <w:snapToGrid w:val="0"/>
              <w:spacing w:line="360" w:lineRule="auto"/>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328" w:type="dxa"/>
            <w:vAlign w:val="center"/>
          </w:tcPr>
          <w:p>
            <w:pPr>
              <w:snapToGrid w:val="0"/>
              <w:spacing w:line="360" w:lineRule="auto"/>
              <w:jc w:val="center"/>
              <w:rPr>
                <w:rFonts w:ascii="仿宋" w:hAnsi="仿宋" w:eastAsia="仿宋"/>
                <w:b/>
              </w:rPr>
            </w:pPr>
            <w:r>
              <w:rPr>
                <w:rFonts w:hint="eastAsia" w:ascii="仿宋" w:hAnsi="仿宋" w:eastAsia="仿宋" w:cs="Times New Roman"/>
                <w:b/>
              </w:rPr>
              <w:t>评标因素</w:t>
            </w:r>
          </w:p>
        </w:tc>
        <w:tc>
          <w:tcPr>
            <w:tcW w:w="3215" w:type="dxa"/>
            <w:vAlign w:val="center"/>
          </w:tcPr>
          <w:p>
            <w:pPr>
              <w:snapToGrid w:val="0"/>
              <w:spacing w:line="360" w:lineRule="auto"/>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15" w:type="dxa"/>
            <w:vAlign w:val="center"/>
          </w:tcPr>
          <w:p>
            <w:pPr>
              <w:snapToGrid w:val="0"/>
              <w:spacing w:line="360" w:lineRule="auto"/>
              <w:jc w:val="center"/>
              <w:rPr>
                <w:rFonts w:ascii="仿宋" w:hAnsi="仿宋" w:eastAsia="仿宋"/>
              </w:rPr>
            </w:pPr>
            <w:r>
              <w:rPr>
                <w:rFonts w:ascii="仿宋" w:hAnsi="仿宋" w:eastAsia="仿宋"/>
              </w:rPr>
              <w:t>1</w:t>
            </w:r>
          </w:p>
        </w:tc>
        <w:tc>
          <w:tcPr>
            <w:tcW w:w="4328" w:type="dxa"/>
            <w:vAlign w:val="center"/>
          </w:tcPr>
          <w:p>
            <w:pPr>
              <w:snapToGrid w:val="0"/>
              <w:spacing w:line="360" w:lineRule="auto"/>
              <w:jc w:val="center"/>
              <w:rPr>
                <w:rFonts w:ascii="仿宋" w:hAnsi="仿宋" w:eastAsia="仿宋"/>
              </w:rPr>
            </w:pPr>
            <w:r>
              <w:rPr>
                <w:rFonts w:hint="eastAsia" w:ascii="仿宋" w:hAnsi="仿宋" w:eastAsia="仿宋"/>
              </w:rPr>
              <w:t>报价部分</w:t>
            </w:r>
          </w:p>
        </w:tc>
        <w:tc>
          <w:tcPr>
            <w:tcW w:w="3215" w:type="dxa"/>
            <w:vAlign w:val="center"/>
          </w:tcPr>
          <w:p>
            <w:pPr>
              <w:snapToGrid w:val="0"/>
              <w:spacing w:line="360" w:lineRule="auto"/>
              <w:jc w:val="center"/>
              <w:rPr>
                <w:rFonts w:ascii="仿宋" w:hAnsi="仿宋" w:eastAsia="仿宋"/>
              </w:rPr>
            </w:pPr>
            <w:r>
              <w:rPr>
                <w:rFonts w:hint="eastAsia" w:ascii="仿宋" w:hAnsi="仿宋" w:eastAsia="仿宋"/>
              </w:rPr>
              <w:t>1</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15" w:type="dxa"/>
            <w:vAlign w:val="center"/>
          </w:tcPr>
          <w:p>
            <w:pPr>
              <w:snapToGrid w:val="0"/>
              <w:spacing w:line="360" w:lineRule="auto"/>
              <w:jc w:val="center"/>
              <w:rPr>
                <w:rFonts w:ascii="仿宋" w:hAnsi="仿宋" w:eastAsia="仿宋"/>
              </w:rPr>
            </w:pPr>
            <w:r>
              <w:rPr>
                <w:rFonts w:ascii="仿宋" w:hAnsi="仿宋" w:eastAsia="仿宋"/>
              </w:rPr>
              <w:t>2</w:t>
            </w:r>
          </w:p>
        </w:tc>
        <w:tc>
          <w:tcPr>
            <w:tcW w:w="4328" w:type="dxa"/>
            <w:vAlign w:val="center"/>
          </w:tcPr>
          <w:p>
            <w:pPr>
              <w:snapToGrid w:val="0"/>
              <w:spacing w:line="360" w:lineRule="auto"/>
              <w:jc w:val="center"/>
              <w:rPr>
                <w:rFonts w:ascii="仿宋" w:hAnsi="仿宋" w:eastAsia="仿宋"/>
              </w:rPr>
            </w:pPr>
            <w:r>
              <w:rPr>
                <w:rFonts w:hint="eastAsia" w:ascii="仿宋" w:hAnsi="仿宋" w:eastAsia="仿宋"/>
              </w:rPr>
              <w:t>技术部分</w:t>
            </w:r>
          </w:p>
        </w:tc>
        <w:tc>
          <w:tcPr>
            <w:tcW w:w="3215" w:type="dxa"/>
            <w:vAlign w:val="center"/>
          </w:tcPr>
          <w:p>
            <w:pPr>
              <w:snapToGrid w:val="0"/>
              <w:spacing w:line="360" w:lineRule="auto"/>
              <w:jc w:val="center"/>
              <w:rPr>
                <w:rFonts w:ascii="仿宋" w:hAnsi="仿宋" w:eastAsia="仿宋"/>
              </w:rPr>
            </w:pPr>
            <w:r>
              <w:rPr>
                <w:rFonts w:hint="eastAsia" w:ascii="仿宋" w:hAnsi="仿宋" w:eastAsia="仿宋"/>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15" w:type="dxa"/>
            <w:vAlign w:val="center"/>
          </w:tcPr>
          <w:p>
            <w:pPr>
              <w:snapToGrid w:val="0"/>
              <w:spacing w:line="360" w:lineRule="auto"/>
              <w:jc w:val="center"/>
              <w:rPr>
                <w:rFonts w:ascii="仿宋" w:hAnsi="仿宋" w:eastAsia="仿宋"/>
              </w:rPr>
            </w:pPr>
            <w:r>
              <w:rPr>
                <w:rFonts w:ascii="仿宋" w:hAnsi="仿宋" w:eastAsia="仿宋"/>
              </w:rPr>
              <w:t>3</w:t>
            </w:r>
          </w:p>
        </w:tc>
        <w:tc>
          <w:tcPr>
            <w:tcW w:w="4328" w:type="dxa"/>
            <w:vAlign w:val="center"/>
          </w:tcPr>
          <w:p>
            <w:pPr>
              <w:snapToGrid w:val="0"/>
              <w:spacing w:line="360" w:lineRule="auto"/>
              <w:jc w:val="center"/>
              <w:rPr>
                <w:rFonts w:ascii="仿宋" w:hAnsi="仿宋" w:eastAsia="仿宋"/>
              </w:rPr>
            </w:pPr>
            <w:r>
              <w:rPr>
                <w:rFonts w:hint="eastAsia" w:ascii="仿宋" w:hAnsi="仿宋" w:eastAsia="仿宋"/>
              </w:rPr>
              <w:t>商务部分</w:t>
            </w:r>
          </w:p>
        </w:tc>
        <w:tc>
          <w:tcPr>
            <w:tcW w:w="3215" w:type="dxa"/>
            <w:vAlign w:val="center"/>
          </w:tcPr>
          <w:p>
            <w:pPr>
              <w:snapToGrid w:val="0"/>
              <w:spacing w:line="360" w:lineRule="auto"/>
              <w:jc w:val="center"/>
              <w:rPr>
                <w:rFonts w:ascii="仿宋" w:hAnsi="仿宋" w:eastAsia="仿宋"/>
              </w:rPr>
            </w:pPr>
            <w:r>
              <w:rPr>
                <w:rFonts w:hint="eastAsia" w:ascii="仿宋" w:hAnsi="仿宋" w:eastAsia="仿宋"/>
              </w:rPr>
              <w:t>40</w:t>
            </w:r>
            <w:r>
              <w:rPr>
                <w:rFonts w:ascii="仿宋" w:hAnsi="仿宋" w:eastAsia="仿宋"/>
              </w:rPr>
              <w:t>分</w:t>
            </w:r>
          </w:p>
        </w:tc>
      </w:tr>
    </w:tbl>
    <w:p>
      <w:pPr>
        <w:suppressAutoHyphens/>
        <w:snapToGrid w:val="0"/>
        <w:spacing w:line="360" w:lineRule="auto"/>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9"/>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189"/>
        <w:gridCol w:w="713"/>
        <w:gridCol w:w="6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273" w:type="dxa"/>
            <w:vAlign w:val="center"/>
          </w:tcPr>
          <w:p>
            <w:pPr>
              <w:widowControl/>
              <w:snapToGrid w:val="0"/>
              <w:spacing w:line="300" w:lineRule="auto"/>
              <w:jc w:val="center"/>
              <w:rPr>
                <w:rFonts w:ascii="仿宋" w:hAnsi="仿宋" w:eastAsia="仿宋" w:cs="仿宋"/>
                <w:b/>
                <w:bCs/>
              </w:rPr>
            </w:pPr>
            <w:r>
              <w:rPr>
                <w:rFonts w:hint="eastAsia" w:ascii="仿宋" w:hAnsi="仿宋" w:eastAsia="仿宋" w:cs="仿宋"/>
                <w:b/>
                <w:bCs/>
                <w:kern w:val="0"/>
                <w:sz w:val="24"/>
              </w:rPr>
              <w:t>评审因素</w:t>
            </w:r>
          </w:p>
        </w:tc>
        <w:tc>
          <w:tcPr>
            <w:tcW w:w="1189" w:type="dxa"/>
            <w:vAlign w:val="center"/>
          </w:tcPr>
          <w:p>
            <w:pPr>
              <w:widowControl/>
              <w:snapToGrid w:val="0"/>
              <w:spacing w:line="300" w:lineRule="auto"/>
              <w:jc w:val="center"/>
              <w:rPr>
                <w:rFonts w:ascii="仿宋" w:hAnsi="仿宋" w:eastAsia="仿宋" w:cs="仿宋"/>
                <w:b/>
                <w:bCs/>
              </w:rPr>
            </w:pPr>
            <w:r>
              <w:rPr>
                <w:rFonts w:hint="eastAsia" w:ascii="仿宋" w:hAnsi="仿宋" w:eastAsia="仿宋" w:cs="仿宋"/>
                <w:b/>
                <w:bCs/>
                <w:kern w:val="0"/>
                <w:sz w:val="24"/>
              </w:rPr>
              <w:t>计分因素</w:t>
            </w:r>
          </w:p>
        </w:tc>
        <w:tc>
          <w:tcPr>
            <w:tcW w:w="713" w:type="dxa"/>
            <w:vAlign w:val="center"/>
          </w:tcPr>
          <w:p>
            <w:pPr>
              <w:widowControl/>
              <w:snapToGrid w:val="0"/>
              <w:spacing w:line="300" w:lineRule="auto"/>
              <w:jc w:val="center"/>
              <w:rPr>
                <w:rFonts w:ascii="仿宋" w:hAnsi="仿宋" w:eastAsia="仿宋" w:cs="仿宋"/>
                <w:b/>
                <w:bCs/>
              </w:rPr>
            </w:pPr>
            <w:r>
              <w:rPr>
                <w:rFonts w:hint="eastAsia" w:ascii="仿宋" w:hAnsi="仿宋" w:eastAsia="仿宋" w:cs="仿宋"/>
                <w:b/>
                <w:bCs/>
                <w:kern w:val="0"/>
                <w:sz w:val="24"/>
              </w:rPr>
              <w:t>分值</w:t>
            </w:r>
          </w:p>
        </w:tc>
        <w:tc>
          <w:tcPr>
            <w:tcW w:w="6085" w:type="dxa"/>
            <w:vAlign w:val="center"/>
          </w:tcPr>
          <w:p>
            <w:pPr>
              <w:tabs>
                <w:tab w:val="left" w:pos="0"/>
              </w:tabs>
              <w:adjustRightInd w:val="0"/>
              <w:snapToGrid w:val="0"/>
              <w:spacing w:line="300" w:lineRule="auto"/>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73"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rPr>
              <w:t>投标报价</w:t>
            </w:r>
          </w:p>
        </w:tc>
        <w:tc>
          <w:tcPr>
            <w:tcW w:w="1189" w:type="dxa"/>
            <w:vAlign w:val="center"/>
          </w:tcPr>
          <w:p>
            <w:pPr>
              <w:tabs>
                <w:tab w:val="left" w:pos="0"/>
              </w:tabs>
              <w:adjustRightInd w:val="0"/>
              <w:snapToGrid w:val="0"/>
              <w:spacing w:line="300" w:lineRule="auto"/>
              <w:ind w:firstLine="105" w:firstLineChars="50"/>
              <w:jc w:val="center"/>
              <w:rPr>
                <w:rFonts w:ascii="仿宋" w:hAnsi="仿宋" w:eastAsia="仿宋" w:cs="仿宋"/>
                <w:bCs/>
              </w:rPr>
            </w:pPr>
            <w:r>
              <w:rPr>
                <w:rFonts w:hint="eastAsia" w:ascii="仿宋" w:hAnsi="仿宋" w:eastAsia="仿宋" w:cs="仿宋"/>
                <w:bCs/>
              </w:rPr>
              <w:t>以报价</w:t>
            </w:r>
          </w:p>
          <w:p>
            <w:pPr>
              <w:tabs>
                <w:tab w:val="left" w:pos="0"/>
              </w:tabs>
              <w:adjustRightInd w:val="0"/>
              <w:snapToGrid w:val="0"/>
              <w:spacing w:line="300" w:lineRule="auto"/>
              <w:ind w:firstLine="105" w:firstLineChars="50"/>
              <w:jc w:val="center"/>
              <w:rPr>
                <w:rFonts w:ascii="仿宋" w:hAnsi="仿宋" w:eastAsia="仿宋" w:cs="仿宋"/>
                <w:bCs/>
              </w:rPr>
            </w:pPr>
            <w:r>
              <w:rPr>
                <w:rFonts w:hint="eastAsia" w:ascii="仿宋" w:hAnsi="仿宋" w:eastAsia="仿宋" w:cs="仿宋"/>
                <w:bCs/>
              </w:rPr>
              <w:t>计分</w:t>
            </w:r>
          </w:p>
        </w:tc>
        <w:tc>
          <w:tcPr>
            <w:tcW w:w="713"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3" w:type="dxa"/>
            <w:vMerge w:val="restart"/>
            <w:vAlign w:val="center"/>
          </w:tcPr>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300" w:lineRule="auto"/>
              <w:ind w:firstLine="105" w:firstLineChars="50"/>
              <w:rPr>
                <w:rFonts w:ascii="仿宋" w:hAnsi="仿宋" w:eastAsia="仿宋" w:cs="仿宋"/>
                <w:bCs/>
              </w:rPr>
            </w:pPr>
            <w:r>
              <w:rPr>
                <w:rFonts w:hint="eastAsia" w:ascii="仿宋" w:hAnsi="仿宋" w:eastAsia="仿宋" w:cs="仿宋"/>
                <w:bCs/>
              </w:rPr>
              <w:t>（50分）</w:t>
            </w: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预算编制工期</w:t>
            </w:r>
          </w:p>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保证措施</w:t>
            </w:r>
          </w:p>
        </w:tc>
        <w:tc>
          <w:tcPr>
            <w:tcW w:w="713"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根据投标人提供的预算编制工期保证措施（包括预算编制进度计划、预算编制流程、进度控制方法等）的完整、科学、合理性，具有可行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73" w:type="dxa"/>
            <w:vMerge w:val="continue"/>
            <w:vAlign w:val="center"/>
          </w:tcPr>
          <w:p>
            <w:pPr>
              <w:tabs>
                <w:tab w:val="left" w:pos="0"/>
              </w:tabs>
              <w:adjustRightInd w:val="0"/>
              <w:snapToGrid w:val="0"/>
              <w:spacing w:line="300" w:lineRule="auto"/>
              <w:ind w:firstLine="105" w:firstLineChars="50"/>
              <w:rPr>
                <w:rFonts w:ascii="仿宋" w:hAnsi="仿宋" w:eastAsia="仿宋" w:cs="仿宋"/>
                <w:bCs/>
              </w:rPr>
            </w:pP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预算编制质量措施</w:t>
            </w:r>
          </w:p>
        </w:tc>
        <w:tc>
          <w:tcPr>
            <w:tcW w:w="713"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15分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根据投标人提供的预算编制质量保证措施（包括预算编制实施方案、内部控制措施、质量控制方法等）的完整、科学、合理性，具有可行性强的计15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73" w:type="dxa"/>
            <w:vMerge w:val="continue"/>
            <w:vAlign w:val="center"/>
          </w:tcPr>
          <w:p>
            <w:pPr>
              <w:tabs>
                <w:tab w:val="left" w:pos="0"/>
              </w:tabs>
              <w:adjustRightInd w:val="0"/>
              <w:snapToGrid w:val="0"/>
              <w:spacing w:line="300" w:lineRule="auto"/>
              <w:ind w:firstLine="105" w:firstLineChars="50"/>
              <w:rPr>
                <w:rFonts w:ascii="仿宋" w:hAnsi="仿宋" w:eastAsia="仿宋" w:cs="仿宋"/>
                <w:bCs/>
              </w:rPr>
            </w:pP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服务团队实力</w:t>
            </w:r>
          </w:p>
        </w:tc>
        <w:tc>
          <w:tcPr>
            <w:tcW w:w="713"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15分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1、委派现场服务团队不少于3人（其中必须配备项目负责人1人，注册造价工程师（建筑工程）1人，注册造价工程师（安装工程）1人）的计3分；每增加一名助理工程师计1分；本项最多计5分。</w:t>
            </w:r>
          </w:p>
          <w:p>
            <w:pPr>
              <w:tabs>
                <w:tab w:val="left" w:pos="0"/>
              </w:tabs>
              <w:adjustRightInd w:val="0"/>
              <w:snapToGrid w:val="0"/>
              <w:spacing w:line="300" w:lineRule="auto"/>
              <w:rPr>
                <w:rFonts w:ascii="仿宋" w:hAnsi="仿宋" w:eastAsia="仿宋" w:cs="仿宋"/>
                <w:bCs/>
                <w:strike/>
                <w:highlight w:val="yellow"/>
              </w:rPr>
            </w:pPr>
            <w:r>
              <w:rPr>
                <w:rFonts w:hint="eastAsia" w:ascii="仿宋" w:hAnsi="仿宋" w:eastAsia="仿宋" w:cs="仿宋"/>
                <w:bCs/>
              </w:rPr>
              <w:t>2、项目负责人具备国家注册一级造价师（建筑工程）证书和高级工程师（建筑工程）证书的计2分，否则不计分；从业经历1-5年的计1分，从业经历5年以上的计2分；本项最多计4分。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3、注册造价工程师（建筑工程）具备国家注册一级造价师证书的计1分，否则不计分；从业经历1-5年的计1分，从业经历5年以上的计2分；本项最多计3分。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4、注册造价工程师（安装工程）具备国家注册一级造价师证书的计1分，否则不计分；从业经历1-5年的计1分，从业经历5年以上的计2分；本项最多计3分。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
                <w:bCs/>
                <w:color w:val="000000" w:themeColor="text1"/>
                <w:lang w:val="en-US" w:eastAsia="zh-CN"/>
                <w14:textFill>
                  <w14:solidFill>
                    <w14:schemeClr w14:val="tx1"/>
                  </w14:solidFill>
                </w14:textFill>
              </w:rPr>
              <w:t>注：从业经历以注册造价工程师证书初始注册日计算，</w:t>
            </w:r>
            <w:r>
              <w:rPr>
                <w:rFonts w:hint="eastAsia" w:ascii="仿宋" w:hAnsi="仿宋" w:eastAsia="仿宋" w:cs="仿宋"/>
                <w:b/>
                <w:bCs/>
                <w:color w:val="000000" w:themeColor="text1"/>
                <w:lang w:val="en-US" w:eastAsia="zh-CN"/>
                <w14:textFill>
                  <w14:solidFill>
                    <w14:schemeClr w14:val="tx1"/>
                  </w14:solidFill>
                </w14:textFill>
              </w:rPr>
              <w:t>提供以上相关人员的证件复印件及在职社保近6个月等证明文件的复印件，未提供的不计分。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73" w:type="dxa"/>
            <w:vMerge w:val="continue"/>
            <w:vAlign w:val="center"/>
          </w:tcPr>
          <w:p>
            <w:pPr>
              <w:tabs>
                <w:tab w:val="left" w:pos="0"/>
              </w:tabs>
              <w:adjustRightInd w:val="0"/>
              <w:snapToGrid w:val="0"/>
              <w:spacing w:line="300" w:lineRule="auto"/>
              <w:ind w:firstLine="420" w:firstLineChars="200"/>
              <w:rPr>
                <w:rFonts w:ascii="仿宋" w:hAnsi="仿宋" w:eastAsia="仿宋" w:cs="仿宋"/>
                <w:bCs/>
              </w:rPr>
            </w:pP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服务承诺</w:t>
            </w:r>
          </w:p>
        </w:tc>
        <w:tc>
          <w:tcPr>
            <w:tcW w:w="713"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1、承诺不得将承接的业务对外转包，不得以任何借口违反独立预算编制准则和质量控制标准。在约定服务期内，确保为发包人提供诚信服务，并自觉接受监督；发现不诚信行为，愿意接受相关处罚。（承诺的计2分，未响应计0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2、承诺委派现场服务团队成员与投标书中一致，服从采购人工作安排，定期进行现场工作对接，包括投入的专业人员数量、完成任务时间、质量保证措施、保密措施、后续咨询及增值服务等，如有违反，同意按合同条款进行处罚。（承诺的计2分，未响应计0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3、</w:t>
            </w:r>
            <w:r>
              <w:rPr>
                <w:rFonts w:hint="eastAsia" w:ascii="仿宋" w:hAnsi="仿宋" w:eastAsia="仿宋" w:cs="仿宋"/>
                <w:bCs/>
                <w:color w:val="000000" w:themeColor="text1"/>
                <w14:textFill>
                  <w14:solidFill>
                    <w14:schemeClr w14:val="tx1"/>
                  </w14:solidFill>
                </w14:textFill>
              </w:rPr>
              <w:t>严格按照中国注册造价工程师准则等规定执行</w:t>
            </w:r>
            <w:r>
              <w:rPr>
                <w:rFonts w:hint="eastAsia" w:ascii="仿宋" w:hAnsi="仿宋" w:eastAsia="仿宋" w:cs="仿宋"/>
                <w:bCs/>
              </w:rPr>
              <w:t>预算编制</w:t>
            </w:r>
            <w:r>
              <w:rPr>
                <w:rFonts w:hint="eastAsia" w:ascii="仿宋" w:hAnsi="仿宋" w:eastAsia="仿宋" w:cs="仿宋"/>
                <w:bCs/>
                <w:color w:val="000000" w:themeColor="text1"/>
                <w14:textFill>
                  <w14:solidFill>
                    <w14:schemeClr w14:val="tx1"/>
                  </w14:solidFill>
                </w14:textFill>
              </w:rPr>
              <w:t>业务，愿意接受及配合采购人完成湖南省财政厅财政投资评审中心财政评审</w:t>
            </w:r>
            <w:r>
              <w:rPr>
                <w:rFonts w:hint="eastAsia" w:ascii="仿宋" w:hAnsi="仿宋" w:eastAsia="仿宋" w:cs="仿宋"/>
                <w:bCs/>
              </w:rPr>
              <w:t>。（承诺的计2分，未响应计0分）</w:t>
            </w:r>
          </w:p>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4、严格按照预算编制工期实施，若因自身原因预算编制工期超过合同工期，同意按合同条款进行处罚。（承诺的计4分，未响应计0分）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restart"/>
            <w:vAlign w:val="center"/>
          </w:tcPr>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300" w:lineRule="auto"/>
              <w:ind w:firstLine="420" w:firstLineChars="200"/>
              <w:rPr>
                <w:rFonts w:ascii="仿宋" w:hAnsi="仿宋" w:eastAsia="仿宋" w:cs="仿宋"/>
                <w:bCs/>
              </w:rPr>
            </w:pPr>
            <w:r>
              <w:rPr>
                <w:rFonts w:hint="eastAsia" w:ascii="仿宋" w:hAnsi="仿宋" w:eastAsia="仿宋" w:cs="仿宋"/>
                <w:bCs/>
              </w:rPr>
              <w:t>分</w:t>
            </w:r>
          </w:p>
          <w:p>
            <w:pPr>
              <w:snapToGrid w:val="0"/>
              <w:spacing w:line="300" w:lineRule="auto"/>
              <w:rPr>
                <w:rFonts w:ascii="仿宋" w:hAnsi="仿宋" w:eastAsia="仿宋" w:cs="仿宋"/>
                <w:bCs/>
              </w:rPr>
            </w:pPr>
            <w:r>
              <w:rPr>
                <w:rFonts w:hint="eastAsia" w:ascii="仿宋" w:hAnsi="仿宋" w:eastAsia="仿宋" w:cs="仿宋"/>
                <w:bCs/>
              </w:rPr>
              <w:t>（40分）</w:t>
            </w: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rPr>
              <w:t>类似业绩</w:t>
            </w:r>
          </w:p>
        </w:tc>
        <w:tc>
          <w:tcPr>
            <w:tcW w:w="713"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rPr>
              <w:t>20</w:t>
            </w:r>
            <w:r>
              <w:rPr>
                <w:rFonts w:hint="eastAsia" w:ascii="仿宋" w:hAnsi="仿宋" w:eastAsia="仿宋" w:cs="仿宋"/>
                <w:bCs/>
              </w:rPr>
              <w:t>分</w:t>
            </w:r>
          </w:p>
        </w:tc>
        <w:tc>
          <w:tcPr>
            <w:tcW w:w="6085" w:type="dxa"/>
            <w:vAlign w:val="center"/>
          </w:tcPr>
          <w:p>
            <w:pPr>
              <w:tabs>
                <w:tab w:val="left" w:pos="0"/>
              </w:tabs>
              <w:adjustRightInd w:val="0"/>
              <w:snapToGrid w:val="0"/>
              <w:spacing w:line="300" w:lineRule="auto"/>
              <w:jc w:val="left"/>
              <w:rPr>
                <w:rFonts w:ascii="仿宋" w:hAnsi="仿宋" w:eastAsia="仿宋" w:cs="仿宋"/>
                <w:bCs/>
              </w:rPr>
            </w:pPr>
            <w:r>
              <w:rPr>
                <w:rFonts w:hint="eastAsia" w:ascii="仿宋" w:hAnsi="仿宋" w:eastAsia="仿宋" w:cs="仿宋"/>
                <w:bCs/>
              </w:rPr>
              <w:t>提供20</w:t>
            </w:r>
            <w:r>
              <w:rPr>
                <w:rFonts w:ascii="仿宋" w:hAnsi="仿宋" w:eastAsia="仿宋" w:cs="仿宋"/>
                <w:bCs/>
              </w:rPr>
              <w:t>20</w:t>
            </w:r>
            <w:r>
              <w:rPr>
                <w:rFonts w:hint="eastAsia" w:ascii="仿宋" w:hAnsi="仿宋" w:eastAsia="仿宋" w:cs="仿宋"/>
                <w:bCs/>
              </w:rPr>
              <w:t>年9月1日以来承接过房屋建筑工程预算编制类似项目业绩的，每个计</w:t>
            </w:r>
            <w:r>
              <w:rPr>
                <w:rFonts w:ascii="仿宋" w:hAnsi="仿宋" w:eastAsia="仿宋" w:cs="仿宋"/>
                <w:bCs/>
              </w:rPr>
              <w:t>4</w:t>
            </w:r>
            <w:r>
              <w:rPr>
                <w:rFonts w:hint="eastAsia" w:ascii="仿宋" w:hAnsi="仿宋" w:eastAsia="仿宋" w:cs="仿宋"/>
                <w:bCs/>
              </w:rPr>
              <w:t>分，最多计20分。</w:t>
            </w:r>
          </w:p>
          <w:p>
            <w:pPr>
              <w:tabs>
                <w:tab w:val="left" w:pos="0"/>
              </w:tabs>
              <w:adjustRightInd w:val="0"/>
              <w:snapToGrid w:val="0"/>
              <w:spacing w:line="300" w:lineRule="auto"/>
              <w:jc w:val="left"/>
              <w:rPr>
                <w:rFonts w:ascii="仿宋" w:hAnsi="仿宋" w:eastAsia="仿宋" w:cs="仿宋"/>
              </w:rPr>
            </w:pPr>
            <w:r>
              <w:rPr>
                <w:rFonts w:hint="eastAsia" w:ascii="仿宋" w:hAnsi="仿宋" w:eastAsia="仿宋" w:cs="仿宋"/>
                <w:bCs/>
              </w:rPr>
              <w:t>注：预算编制项目的业绩证明材料以合同作为证明材料，未提供证明材料的业绩视为无效业绩，即每个业绩均需提供合同的影印件，业绩完成时间以合同中的完工时间为准，单项工程涉及多个标段，按所有标段的金额叠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continue"/>
            <w:vAlign w:val="center"/>
          </w:tcPr>
          <w:p>
            <w:pPr>
              <w:tabs>
                <w:tab w:val="left" w:pos="0"/>
              </w:tabs>
              <w:adjustRightInd w:val="0"/>
              <w:snapToGrid w:val="0"/>
              <w:spacing w:line="300" w:lineRule="auto"/>
              <w:ind w:firstLine="420" w:firstLineChars="200"/>
              <w:rPr>
                <w:rFonts w:ascii="仿宋" w:hAnsi="仿宋" w:eastAsia="仿宋" w:cs="仿宋"/>
                <w:bCs/>
              </w:rPr>
            </w:pPr>
          </w:p>
        </w:tc>
        <w:tc>
          <w:tcPr>
            <w:tcW w:w="1189" w:type="dxa"/>
            <w:vAlign w:val="center"/>
          </w:tcPr>
          <w:p>
            <w:pPr>
              <w:tabs>
                <w:tab w:val="left" w:pos="0"/>
              </w:tabs>
              <w:adjustRightInd w:val="0"/>
              <w:snapToGrid w:val="0"/>
              <w:spacing w:line="300" w:lineRule="auto"/>
              <w:jc w:val="center"/>
              <w:rPr>
                <w:rFonts w:ascii="仿宋" w:hAnsi="仿宋" w:eastAsia="仿宋" w:cs="仿宋"/>
                <w:highlight w:val="yellow"/>
              </w:rPr>
            </w:pPr>
            <w:r>
              <w:rPr>
                <w:rFonts w:hint="eastAsia" w:ascii="仿宋" w:hAnsi="仿宋" w:eastAsia="仿宋" w:cs="仿宋"/>
              </w:rPr>
              <w:t>企业荣誉</w:t>
            </w:r>
          </w:p>
        </w:tc>
        <w:tc>
          <w:tcPr>
            <w:tcW w:w="713" w:type="dxa"/>
            <w:vAlign w:val="center"/>
          </w:tcPr>
          <w:p>
            <w:pPr>
              <w:tabs>
                <w:tab w:val="left" w:pos="0"/>
              </w:tabs>
              <w:adjustRightInd w:val="0"/>
              <w:snapToGrid w:val="0"/>
              <w:spacing w:line="300" w:lineRule="auto"/>
              <w:jc w:val="center"/>
              <w:rPr>
                <w:rFonts w:ascii="仿宋" w:hAnsi="仿宋" w:eastAsia="仿宋" w:cs="仿宋"/>
              </w:rPr>
            </w:pPr>
            <w:r>
              <w:rPr>
                <w:rFonts w:hint="eastAsia" w:ascii="仿宋" w:hAnsi="仿宋" w:eastAsia="仿宋" w:cs="仿宋"/>
              </w:rPr>
              <w:t>1</w:t>
            </w:r>
            <w:r>
              <w:rPr>
                <w:rFonts w:ascii="仿宋" w:hAnsi="仿宋" w:eastAsia="仿宋" w:cs="仿宋"/>
              </w:rPr>
              <w:t>0</w:t>
            </w:r>
            <w:r>
              <w:rPr>
                <w:rFonts w:hint="eastAsia" w:ascii="仿宋" w:hAnsi="仿宋" w:eastAsia="仿宋" w:cs="仿宋"/>
              </w:rPr>
              <w:t>分</w:t>
            </w:r>
          </w:p>
        </w:tc>
        <w:tc>
          <w:tcPr>
            <w:tcW w:w="6085" w:type="dxa"/>
            <w:vAlign w:val="center"/>
          </w:tcPr>
          <w:p>
            <w:pPr>
              <w:tabs>
                <w:tab w:val="left" w:pos="0"/>
              </w:tabs>
              <w:adjustRightInd w:val="0"/>
              <w:snapToGrid w:val="0"/>
              <w:spacing w:line="300" w:lineRule="auto"/>
              <w:rPr>
                <w:rFonts w:ascii="仿宋" w:hAnsi="仿宋" w:eastAsia="仿宋" w:cs="仿宋"/>
                <w:bCs/>
              </w:rPr>
            </w:pPr>
            <w:r>
              <w:rPr>
                <w:rFonts w:hint="eastAsia" w:ascii="仿宋" w:hAnsi="仿宋" w:eastAsia="仿宋" w:cs="仿宋"/>
                <w:bCs/>
              </w:rPr>
              <w:t>1、20</w:t>
            </w:r>
            <w:r>
              <w:rPr>
                <w:rFonts w:ascii="仿宋" w:hAnsi="仿宋" w:eastAsia="仿宋" w:cs="仿宋"/>
                <w:bCs/>
              </w:rPr>
              <w:t>20</w:t>
            </w:r>
            <w:r>
              <w:rPr>
                <w:rFonts w:hint="eastAsia" w:ascii="仿宋" w:hAnsi="仿宋" w:eastAsia="仿宋" w:cs="仿宋"/>
                <w:bCs/>
              </w:rPr>
              <w:t>年1月1日以来，投标人获得省级及以上造价类先进或优秀单位计</w:t>
            </w:r>
            <w:r>
              <w:rPr>
                <w:rFonts w:ascii="仿宋" w:hAnsi="仿宋" w:eastAsia="仿宋" w:cs="仿宋"/>
                <w:bCs/>
              </w:rPr>
              <w:t>5</w:t>
            </w:r>
            <w:r>
              <w:rPr>
                <w:rFonts w:hint="eastAsia" w:ascii="仿宋" w:hAnsi="仿宋" w:eastAsia="仿宋" w:cs="仿宋"/>
                <w:bCs/>
              </w:rPr>
              <w:t>分。（本项须提供表彰文件的复印件及核查网址，否则不计分）</w:t>
            </w:r>
          </w:p>
          <w:p>
            <w:pPr>
              <w:tabs>
                <w:tab w:val="left" w:pos="0"/>
              </w:tabs>
              <w:adjustRightInd w:val="0"/>
              <w:snapToGrid w:val="0"/>
              <w:spacing w:line="300" w:lineRule="auto"/>
              <w:rPr>
                <w:rFonts w:ascii="仿宋" w:hAnsi="仿宋" w:eastAsia="仿宋"/>
                <w:sz w:val="24"/>
              </w:rPr>
            </w:pPr>
            <w:r>
              <w:rPr>
                <w:rFonts w:hint="eastAsia" w:ascii="仿宋" w:hAnsi="仿宋" w:eastAsia="仿宋" w:cs="仿宋"/>
                <w:bCs/>
              </w:rPr>
              <w:t>2、</w:t>
            </w:r>
            <w:r>
              <w:rPr>
                <w:rFonts w:ascii="仿宋" w:hAnsi="仿宋" w:eastAsia="仿宋" w:cs="仿宋"/>
                <w:bCs/>
              </w:rPr>
              <w:t>2020</w:t>
            </w:r>
            <w:r>
              <w:rPr>
                <w:rFonts w:hint="eastAsia" w:ascii="仿宋" w:hAnsi="仿宋" w:eastAsia="仿宋" w:cs="仿宋"/>
                <w:bCs/>
              </w:rPr>
              <w:t>年1月1日以来，拟任现场项目负责人获得过省级及以上造价类先进或优秀荣誉的计5分；项目负责人获得市级造价类先进或优秀荣誉的计3分。（本项须提供表彰文件的复印件及核查网址，否则不计分）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273" w:type="dxa"/>
            <w:vMerge w:val="continue"/>
            <w:vAlign w:val="center"/>
          </w:tcPr>
          <w:p>
            <w:pPr>
              <w:tabs>
                <w:tab w:val="left" w:pos="0"/>
              </w:tabs>
              <w:adjustRightInd w:val="0"/>
              <w:snapToGrid w:val="0"/>
              <w:spacing w:line="300" w:lineRule="auto"/>
              <w:ind w:firstLine="105" w:firstLineChars="50"/>
              <w:rPr>
                <w:rFonts w:ascii="仿宋" w:hAnsi="仿宋" w:eastAsia="仿宋" w:cs="仿宋"/>
                <w:bCs/>
              </w:rPr>
            </w:pPr>
          </w:p>
        </w:tc>
        <w:tc>
          <w:tcPr>
            <w:tcW w:w="1189" w:type="dxa"/>
            <w:vAlign w:val="center"/>
          </w:tcPr>
          <w:p>
            <w:pPr>
              <w:tabs>
                <w:tab w:val="left" w:pos="0"/>
              </w:tabs>
              <w:adjustRightInd w:val="0"/>
              <w:snapToGrid w:val="0"/>
              <w:spacing w:line="300" w:lineRule="auto"/>
              <w:jc w:val="center"/>
              <w:rPr>
                <w:rFonts w:ascii="仿宋" w:hAnsi="仿宋" w:eastAsia="仿宋" w:cs="仿宋"/>
                <w:bCs/>
              </w:rPr>
            </w:pPr>
            <w:r>
              <w:rPr>
                <w:rFonts w:hint="eastAsia" w:ascii="仿宋" w:hAnsi="仿宋" w:eastAsia="仿宋" w:cs="仿宋"/>
                <w:bCs/>
              </w:rPr>
              <w:t>投标文件编制</w:t>
            </w:r>
          </w:p>
        </w:tc>
        <w:tc>
          <w:tcPr>
            <w:tcW w:w="713" w:type="dxa"/>
            <w:vAlign w:val="center"/>
          </w:tcPr>
          <w:p>
            <w:pPr>
              <w:tabs>
                <w:tab w:val="left" w:pos="0"/>
              </w:tabs>
              <w:adjustRightInd w:val="0"/>
              <w:snapToGrid w:val="0"/>
              <w:spacing w:line="300" w:lineRule="auto"/>
              <w:jc w:val="center"/>
              <w:rPr>
                <w:rFonts w:ascii="仿宋" w:hAnsi="仿宋" w:eastAsia="仿宋" w:cs="仿宋"/>
                <w:bCs/>
              </w:rPr>
            </w:pPr>
            <w:r>
              <w:rPr>
                <w:rFonts w:ascii="仿宋" w:hAnsi="仿宋" w:eastAsia="仿宋" w:cs="仿宋"/>
              </w:rPr>
              <w:t>10</w:t>
            </w:r>
            <w:r>
              <w:rPr>
                <w:rFonts w:hint="eastAsia" w:ascii="仿宋" w:hAnsi="仿宋" w:eastAsia="仿宋" w:cs="仿宋"/>
              </w:rPr>
              <w:t>分</w:t>
            </w:r>
          </w:p>
        </w:tc>
        <w:tc>
          <w:tcPr>
            <w:tcW w:w="6085" w:type="dxa"/>
            <w:vAlign w:val="center"/>
          </w:tcPr>
          <w:p>
            <w:pPr>
              <w:tabs>
                <w:tab w:val="left" w:pos="0"/>
              </w:tabs>
              <w:adjustRightInd w:val="0"/>
              <w:snapToGrid w:val="0"/>
              <w:spacing w:line="300" w:lineRule="auto"/>
              <w:jc w:val="left"/>
              <w:rPr>
                <w:rFonts w:ascii="仿宋" w:hAnsi="仿宋" w:eastAsia="仿宋" w:cs="仿宋"/>
                <w:bCs/>
              </w:rPr>
            </w:pPr>
            <w:r>
              <w:rPr>
                <w:rFonts w:hint="eastAsia" w:ascii="仿宋" w:hAnsi="仿宋" w:eastAsia="仿宋" w:cs="仿宋"/>
                <w:bCs/>
              </w:rPr>
              <w:t>投标文件按招标文件规定的格式、顺序编制，有目录、编页码，胶装成册，书面整洁无涂改，没有缺漏项，价格计算准确的，计</w:t>
            </w:r>
            <w:r>
              <w:rPr>
                <w:rFonts w:ascii="仿宋" w:hAnsi="仿宋" w:eastAsia="仿宋" w:cs="仿宋"/>
                <w:bCs/>
              </w:rPr>
              <w:t>10</w:t>
            </w:r>
            <w:r>
              <w:rPr>
                <w:rFonts w:hint="eastAsia" w:ascii="仿宋" w:hAnsi="仿宋" w:eastAsia="仿宋" w:cs="仿宋"/>
                <w:bCs/>
              </w:rPr>
              <w:t>分。不符合要求的，每处扣1分，扣完为止。</w:t>
            </w:r>
          </w:p>
        </w:tc>
      </w:tr>
    </w:tbl>
    <w:p>
      <w:pPr>
        <w:snapToGrid w:val="0"/>
        <w:spacing w:line="360" w:lineRule="auto"/>
        <w:rPr>
          <w:rFonts w:ascii="仿宋" w:hAnsi="仿宋" w:eastAsia="仿宋"/>
        </w:rPr>
      </w:pPr>
    </w:p>
    <w:p>
      <w:pPr>
        <w:snapToGrid w:val="0"/>
        <w:spacing w:line="360" w:lineRule="auto"/>
        <w:jc w:val="center"/>
        <w:rPr>
          <w:rFonts w:ascii="仿宋" w:hAnsi="仿宋" w:eastAsia="仿宋" w:cstheme="minorBidi"/>
          <w:b/>
          <w:spacing w:val="20"/>
          <w:kern w:val="44"/>
          <w:sz w:val="40"/>
          <w:szCs w:val="44"/>
        </w:rPr>
      </w:pPr>
    </w:p>
    <w:p>
      <w:pPr>
        <w:pStyle w:val="18"/>
        <w:snapToGrid w:val="0"/>
        <w:spacing w:line="360" w:lineRule="auto"/>
        <w:rPr>
          <w:rFonts w:ascii="仿宋" w:hAnsi="仿宋" w:eastAsia="仿宋"/>
        </w:rPr>
      </w:pPr>
    </w:p>
    <w:p>
      <w:pPr>
        <w:pStyle w:val="18"/>
        <w:snapToGrid w:val="0"/>
        <w:spacing w:line="360" w:lineRule="auto"/>
        <w:rPr>
          <w:rFonts w:ascii="仿宋" w:hAnsi="仿宋" w:eastAsia="仿宋"/>
        </w:rPr>
      </w:pPr>
    </w:p>
    <w:p>
      <w:pPr>
        <w:widowControl/>
        <w:snapToGrid w:val="0"/>
        <w:spacing w:before="150" w:line="360" w:lineRule="auto"/>
        <w:ind w:firstLine="1928" w:firstLineChars="600"/>
        <w:rPr>
          <w:rFonts w:ascii="仿宋" w:hAnsi="仿宋" w:eastAsia="仿宋"/>
          <w:b/>
          <w:kern w:val="0"/>
          <w:sz w:val="32"/>
          <w:szCs w:val="32"/>
        </w:rPr>
      </w:pPr>
      <w:r>
        <w:rPr>
          <w:rFonts w:hint="eastAsia" w:ascii="仿宋" w:hAnsi="仿宋" w:eastAsia="仿宋"/>
          <w:b/>
          <w:kern w:val="0"/>
          <w:sz w:val="32"/>
          <w:szCs w:val="32"/>
        </w:rPr>
        <w:t>第六章 建设工程造价咨询合同</w:t>
      </w:r>
    </w:p>
    <w:p>
      <w:pPr>
        <w:snapToGrid w:val="0"/>
        <w:spacing w:line="300" w:lineRule="auto"/>
        <w:rPr>
          <w:rFonts w:ascii="仿宋" w:hAnsi="仿宋" w:eastAsia="仿宋" w:cstheme="minorBidi"/>
          <w:bCs/>
          <w:kern w:val="44"/>
          <w:szCs w:val="44"/>
        </w:rPr>
      </w:pPr>
    </w:p>
    <w:p>
      <w:pPr>
        <w:snapToGrid w:val="0"/>
        <w:spacing w:line="300" w:lineRule="auto"/>
        <w:rPr>
          <w:rFonts w:ascii="仿宋" w:hAnsi="仿宋" w:eastAsia="仿宋" w:cs="仿宋"/>
          <w:sz w:val="24"/>
          <w:szCs w:val="24"/>
        </w:rPr>
      </w:pPr>
      <w:r>
        <w:rPr>
          <w:rFonts w:hint="eastAsia" w:ascii="仿宋" w:hAnsi="仿宋" w:eastAsia="仿宋" w:cs="仿宋"/>
          <w:sz w:val="24"/>
          <w:szCs w:val="24"/>
        </w:rPr>
        <w:t>委托方(甲方)： 湖南科技学院</w:t>
      </w:r>
    </w:p>
    <w:p>
      <w:pPr>
        <w:snapToGrid w:val="0"/>
        <w:spacing w:line="300" w:lineRule="auto"/>
        <w:rPr>
          <w:rFonts w:ascii="仿宋" w:hAnsi="仿宋" w:eastAsia="仿宋" w:cs="仿宋"/>
          <w:sz w:val="24"/>
          <w:szCs w:val="24"/>
        </w:rPr>
      </w:pPr>
      <w:r>
        <w:rPr>
          <w:rFonts w:hint="eastAsia" w:ascii="仿宋" w:hAnsi="仿宋" w:eastAsia="仿宋" w:cs="仿宋"/>
          <w:sz w:val="24"/>
          <w:szCs w:val="24"/>
        </w:rPr>
        <w:t xml:space="preserve">受托方(乙方)：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为了合理确定和有效控制工程建设造价，提高投资效益，维护建设各方的合法权益，根据《中华人民共和国民法典》、《中华人民共和国建筑法》和其他有关法律、法规，经双方协商一致，签订本合同。</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一、甲方委托乙方建设项目提供建设工程造价咨询服务：</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1.项目名称：湖南科技学院学生公寓、学生食堂建设项目</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2.服务范围：预算编制</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二、甲方的权利与义务：</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1.有权向乙方咨询与委托项目有关的工作情况，并索取相应的咨询服务成果文件。</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2.对乙方就委托项目在编制时提出的争议问题做出解释或提出处理意见。</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3.按乙方提交所需资料的清单,及时提供咨询服务所需的全部施工图纸及其他的技术资料，并对资料的合法性、真实性和完整性进行审核。</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4.如实介绍委托项目的建设情况，为乙方咨询服务人员提供必要的工作方便。</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5.确定专人作为咨询服务联络人。</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6.为乙方的工作开展提供必要的工作条件和相应配合。</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7.按照约定条件向乙方支付咨询服务费用。</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8.应正确使用咨询服务成果文件，由于使用不当所造成的后果，与乙方无关。</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四、乙方的权利与责任：</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（一）权利</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1.向甲方索取与委托项目有关的全部施工图纸及其他的技术资料。</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2.要求甲方就委托项目在审核时存在的争议问题做出解释和补充相关资料。</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3.对委托项目进行审核时，有权勘察工程现场及调查取证。</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4.要求甲方在工作进展中提供必要的配合。</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（二）责任</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1.须按有关规定及甲方的要求，遵循客观、公正、合法、独立的原则，应用合理技能，维护各方合法权益，认真、细致地做好委托项目的编制工作。</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2.不得泄漏与本合同委托项目有关的保密资料。</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3.按要求控制委托项目的审核进度和质量。</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4.违反有关规定，故意或因重大过失造成所审核的咨询服务成果文件有错，致使甲方遭受损失时，须依法承担相应的赔偿责任。</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5.不得接受其他各方与委托项目有关的咨询服务。</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五、咨询费用及其支付方式：</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本次预算编制咨询费为       元包干（         整），乙方交付相应的咨询服务成果文件,甲方一次性付清。甲方支付咨询费前，乙方应开具与应付金额等额的正规发票，否则，甲方有权拒付相应款项。</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六、合同时效：</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1.本合同自签订之日起生效。</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2.乙方应按期提交咨询服务成果文件，如因甲方原因及不可预见因素，影响咨询报告的如期完成，双方可另行商定提交咨询服务成果文件的时间。</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3.双方完成工作，付清费用后，本合同自动终止。</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七、违约责任：</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1.合同订立双方必须严格履行合同约定的条款。</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2.如乙方出具的咨询服务成果文件，报经甲方复核有重大误差和不符合约定要求的，甲方有权按规定扣减相应的咨询费。</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3. 甲、乙双方应本着友好协商的原则，妥善处理合同履行过程中的争议问题。如未能达成一致，可由工程所在地建设工程造价管理机构调解，协商或调解不成的，双方均同意提交甲方住所地法院人民法院提起诉讼。</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八、附则：</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1.本合同未尽事宜，甲、乙双方可另行协商或签订补充协议，所达成的一致意见或协议与本合同具有同等效力。</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2.本合同经双方签字盖章后生效，一式4份，双方各执2份。</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有关说明事项：</w:t>
      </w:r>
    </w:p>
    <w:p>
      <w:pPr>
        <w:snapToGrid w:val="0"/>
        <w:spacing w:line="300" w:lineRule="auto"/>
        <w:rPr>
          <w:rFonts w:ascii="仿宋" w:hAnsi="仿宋" w:eastAsia="仿宋" w:cs="仿宋"/>
          <w:b/>
          <w:kern w:val="44"/>
          <w:sz w:val="24"/>
          <w:szCs w:val="24"/>
        </w:rPr>
      </w:pP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甲方（盖章）：               乙方（盖章）：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地址：                       地址：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法定代表人：                 法定代表人：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委托代理人：                 委托代理人：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电话：                       电话：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开户银行：                   开户银行：                </w:t>
      </w: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账号：                        账号：              </w:t>
      </w:r>
    </w:p>
    <w:p>
      <w:pPr>
        <w:snapToGrid w:val="0"/>
        <w:spacing w:line="300" w:lineRule="auto"/>
        <w:ind w:firstLine="480" w:firstLineChars="200"/>
        <w:rPr>
          <w:rFonts w:ascii="仿宋" w:hAnsi="仿宋" w:eastAsia="仿宋" w:cs="仿宋"/>
          <w:sz w:val="24"/>
          <w:szCs w:val="24"/>
        </w:rPr>
      </w:pPr>
    </w:p>
    <w:p>
      <w:pPr>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年  月  日                      年  月  日    </w:t>
      </w:r>
      <w:r>
        <w:rPr>
          <w:rFonts w:hint="eastAsia" w:ascii="仿宋" w:hAnsi="仿宋" w:eastAsia="仿宋" w:cs="仿宋"/>
          <w:kern w:val="44"/>
          <w:sz w:val="24"/>
          <w:szCs w:val="24"/>
        </w:rPr>
        <w:t xml:space="preserve">  </w:t>
      </w:r>
    </w:p>
    <w:p>
      <w:pPr>
        <w:pStyle w:val="15"/>
        <w:shd w:val="clear" w:color="auto" w:fill="FFFFFF"/>
        <w:snapToGrid w:val="0"/>
        <w:spacing w:before="150" w:beforeAutospacing="0" w:after="0" w:afterAutospacing="0" w:line="360" w:lineRule="auto"/>
        <w:ind w:firstLine="2249" w:firstLineChars="700"/>
        <w:jc w:val="both"/>
        <w:rPr>
          <w:rFonts w:ascii="仿宋" w:hAnsi="仿宋" w:eastAsia="仿宋" w:cs="仿宋"/>
          <w:b/>
          <w:bCs/>
          <w:sz w:val="32"/>
          <w:szCs w:val="32"/>
        </w:rPr>
      </w:pPr>
    </w:p>
    <w:p>
      <w:pPr>
        <w:pStyle w:val="15"/>
        <w:shd w:val="clear" w:color="auto" w:fill="FFFFFF"/>
        <w:snapToGrid w:val="0"/>
        <w:spacing w:before="150" w:beforeAutospacing="0" w:after="0" w:afterAutospacing="0" w:line="360" w:lineRule="auto"/>
        <w:ind w:firstLine="2249" w:firstLineChars="700"/>
        <w:jc w:val="both"/>
        <w:rPr>
          <w:rFonts w:ascii="仿宋" w:hAnsi="仿宋" w:eastAsia="仿宋" w:cs="仿宋"/>
          <w:b/>
          <w:bCs/>
          <w:sz w:val="32"/>
          <w:szCs w:val="32"/>
        </w:rPr>
      </w:pPr>
    </w:p>
    <w:p>
      <w:pPr>
        <w:pStyle w:val="15"/>
        <w:shd w:val="clear" w:color="auto" w:fill="FFFFFF"/>
        <w:snapToGrid w:val="0"/>
        <w:spacing w:before="150" w:beforeAutospacing="0" w:after="0" w:afterAutospacing="0" w:line="360" w:lineRule="auto"/>
        <w:ind w:firstLine="2249" w:firstLineChars="700"/>
        <w:jc w:val="both"/>
        <w:rPr>
          <w:rFonts w:ascii="仿宋" w:hAnsi="仿宋" w:eastAsia="仿宋" w:cs="仿宋"/>
          <w:b/>
          <w:bCs/>
          <w:sz w:val="32"/>
          <w:szCs w:val="32"/>
        </w:rPr>
      </w:pPr>
      <w:r>
        <w:rPr>
          <w:rFonts w:hint="eastAsia" w:ascii="仿宋" w:hAnsi="仿宋" w:eastAsia="仿宋" w:cs="仿宋"/>
          <w:b/>
          <w:bCs/>
          <w:sz w:val="32"/>
          <w:szCs w:val="32"/>
        </w:rPr>
        <w:t>第七章 投标人资格证明材料</w:t>
      </w:r>
    </w:p>
    <w:p>
      <w:pPr>
        <w:pStyle w:val="4"/>
        <w:snapToGrid w:val="0"/>
        <w:rPr>
          <w:rFonts w:ascii="仿宋" w:hAnsi="仿宋" w:eastAsia="仿宋" w:cs="黑体"/>
          <w:sz w:val="28"/>
          <w:szCs w:val="28"/>
        </w:rPr>
      </w:pPr>
      <w:bookmarkStart w:id="0" w:name="_Toc37171833"/>
    </w:p>
    <w:p>
      <w:pPr>
        <w:pStyle w:val="4"/>
        <w:snapToGrid w:val="0"/>
        <w:ind w:firstLine="1124" w:firstLineChars="400"/>
        <w:rPr>
          <w:rFonts w:ascii="仿宋" w:hAnsi="仿宋" w:eastAsia="仿宋" w:cs="黑体"/>
          <w:sz w:val="28"/>
          <w:szCs w:val="28"/>
        </w:rPr>
      </w:pPr>
      <w:r>
        <w:rPr>
          <w:rFonts w:hint="eastAsia" w:ascii="仿宋" w:hAnsi="仿宋" w:eastAsia="仿宋" w:cs="黑体"/>
          <w:sz w:val="28"/>
          <w:szCs w:val="28"/>
        </w:rPr>
        <w:t>一、营业执照复印件（包括特定资格条件要求证明材料）</w:t>
      </w:r>
    </w:p>
    <w:p>
      <w:pPr>
        <w:pStyle w:val="4"/>
        <w:snapToGrid w:val="0"/>
        <w:ind w:firstLine="1124" w:firstLineChars="400"/>
        <w:rPr>
          <w:rFonts w:ascii="仿宋" w:hAnsi="仿宋" w:eastAsia="仿宋" w:cs="黑体"/>
          <w:sz w:val="28"/>
          <w:szCs w:val="28"/>
        </w:rPr>
      </w:pPr>
    </w:p>
    <w:p>
      <w:pPr>
        <w:pStyle w:val="4"/>
        <w:snapToGrid w:val="0"/>
        <w:ind w:firstLine="1124" w:firstLineChars="400"/>
        <w:rPr>
          <w:rFonts w:ascii="仿宋" w:hAnsi="仿宋" w:eastAsia="仿宋" w:cs="黑体"/>
          <w:sz w:val="30"/>
          <w:szCs w:val="30"/>
        </w:rPr>
      </w:pPr>
      <w:r>
        <w:rPr>
          <w:rFonts w:hint="eastAsia" w:ascii="仿宋" w:hAnsi="仿宋" w:eastAsia="仿宋" w:cs="黑体"/>
          <w:sz w:val="28"/>
          <w:szCs w:val="28"/>
        </w:rPr>
        <w:t>二、法定代表人（单位负责人）身份证明(格式)</w:t>
      </w:r>
      <w:bookmarkEnd w:id="0"/>
    </w:p>
    <w:p>
      <w:pPr>
        <w:tabs>
          <w:tab w:val="left" w:pos="3880"/>
        </w:tabs>
        <w:autoSpaceDE w:val="0"/>
        <w:autoSpaceDN w:val="0"/>
        <w:adjustRightInd w:val="0"/>
        <w:snapToGrid w:val="0"/>
        <w:spacing w:line="360" w:lineRule="auto"/>
        <w:jc w:val="left"/>
        <w:rPr>
          <w:rFonts w:ascii="仿宋" w:hAnsi="仿宋" w:eastAsia="仿宋" w:cs="仿宋"/>
          <w:kern w:val="0"/>
          <w:position w:val="-4"/>
          <w:sz w:val="24"/>
          <w:szCs w:val="24"/>
        </w:rPr>
      </w:pPr>
    </w:p>
    <w:p>
      <w:pPr>
        <w:tabs>
          <w:tab w:val="left" w:pos="388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p>
    <w:p>
      <w:pPr>
        <w:pStyle w:val="10"/>
        <w:adjustRightInd w:val="0"/>
        <w:snapToGrid w:val="0"/>
        <w:spacing w:before="156" w:beforeLines="50" w:line="360" w:lineRule="auto"/>
        <w:ind w:firstLine="480" w:firstLineChars="200"/>
        <w:rPr>
          <w:rFonts w:ascii="仿宋" w:hAnsi="仿宋" w:eastAsia="仿宋" w:cs="仿宋"/>
        </w:rPr>
      </w:pPr>
      <w:r>
        <w:rPr>
          <w:rFonts w:hint="eastAsia" w:ascii="仿宋" w:hAnsi="仿宋" w:eastAsia="仿宋" w:cs="仿宋"/>
        </w:rPr>
        <w:t>供应商名称(盖单位公章)：</w:t>
      </w:r>
    </w:p>
    <w:p>
      <w:pPr>
        <w:adjustRightInd w:val="0"/>
        <w:snapToGrid w:val="0"/>
        <w:spacing w:before="156" w:beforeLines="50" w:line="360" w:lineRule="auto"/>
        <w:ind w:right="24"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snapToGrid w:val="0"/>
        <w:jc w:val="center"/>
        <w:rPr>
          <w:rFonts w:ascii="仿宋" w:hAnsi="仿宋" w:eastAsia="仿宋"/>
        </w:rPr>
      </w:pPr>
      <w:r>
        <w:rPr>
          <w:rFonts w:ascii="仿宋" w:hAnsi="仿宋" w:eastAsia="仿宋"/>
        </w:rPr>
        <w:br w:type="page"/>
      </w:r>
      <w:bookmarkStart w:id="1" w:name="_Toc37171834"/>
    </w:p>
    <w:p>
      <w:pPr>
        <w:pStyle w:val="4"/>
        <w:snapToGrid w:val="0"/>
        <w:ind w:firstLine="3092" w:firstLineChars="1100"/>
        <w:rPr>
          <w:rFonts w:ascii="仿宋" w:hAnsi="仿宋" w:eastAsia="仿宋" w:cs="黑体"/>
          <w:sz w:val="28"/>
          <w:szCs w:val="28"/>
        </w:rPr>
      </w:pPr>
      <w:r>
        <w:rPr>
          <w:rFonts w:hint="eastAsia" w:ascii="仿宋" w:hAnsi="仿宋" w:eastAsia="仿宋"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仿宋" w:hAnsi="仿宋" w:eastAsia="仿宋"/>
          <w:kern w:val="0"/>
        </w:rPr>
      </w:pPr>
    </w:p>
    <w:p>
      <w:pPr>
        <w:autoSpaceDE w:val="0"/>
        <w:autoSpaceDN w:val="0"/>
        <w:adjustRightInd w:val="0"/>
        <w:snapToGrid w:val="0"/>
        <w:spacing w:before="156" w:beforeLines="50"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360" w:lineRule="auto"/>
        <w:ind w:firstLine="435"/>
        <w:rPr>
          <w:rFonts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360" w:lineRule="auto"/>
        <w:ind w:firstLine="435"/>
        <w:rPr>
          <w:rFonts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ascii="仿宋" w:hAnsi="仿宋" w:eastAsia="仿宋" w:cs="仿宋"/>
          <w:sz w:val="24"/>
          <w:szCs w:val="24"/>
        </w:rPr>
      </w:pPr>
    </w:p>
    <w:p>
      <w:pPr>
        <w:pStyle w:val="10"/>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snapToGrid w:val="0"/>
        <w:spacing w:line="360" w:lineRule="auto"/>
        <w:jc w:val="left"/>
        <w:rPr>
          <w:rFonts w:ascii="仿宋" w:hAnsi="仿宋" w:eastAsia="仿宋"/>
          <w:bCs/>
        </w:rPr>
      </w:pPr>
    </w:p>
    <w:p>
      <w:pPr>
        <w:widowControl/>
        <w:snapToGrid w:val="0"/>
        <w:spacing w:line="360" w:lineRule="auto"/>
        <w:jc w:val="left"/>
        <w:rPr>
          <w:rFonts w:ascii="仿宋" w:hAnsi="仿宋" w:eastAsia="仿宋"/>
          <w:bCs/>
        </w:rPr>
      </w:pPr>
    </w:p>
    <w:p>
      <w:pPr>
        <w:adjustRightInd w:val="0"/>
        <w:snapToGrid w:val="0"/>
        <w:spacing w:line="360" w:lineRule="auto"/>
        <w:jc w:val="center"/>
        <w:rPr>
          <w:rFonts w:ascii="仿宋" w:hAnsi="仿宋" w:eastAsia="仿宋"/>
          <w:b/>
          <w:sz w:val="28"/>
          <w:szCs w:val="28"/>
        </w:rPr>
      </w:pPr>
    </w:p>
    <w:p>
      <w:pPr>
        <w:adjustRightInd w:val="0"/>
        <w:snapToGrid w:val="0"/>
        <w:spacing w:line="360" w:lineRule="auto"/>
        <w:jc w:val="center"/>
        <w:rPr>
          <w:rFonts w:ascii="仿宋" w:hAnsi="仿宋" w:eastAsia="仿宋"/>
          <w:b/>
          <w:sz w:val="28"/>
          <w:szCs w:val="28"/>
        </w:rPr>
      </w:pPr>
    </w:p>
    <w:p>
      <w:pPr>
        <w:pStyle w:val="4"/>
        <w:snapToGrid w:val="0"/>
        <w:jc w:val="center"/>
        <w:rPr>
          <w:rFonts w:ascii="仿宋" w:hAnsi="仿宋" w:eastAsia="仿宋" w:cs="黑体"/>
          <w:sz w:val="28"/>
          <w:szCs w:val="28"/>
        </w:rPr>
      </w:pPr>
    </w:p>
    <w:p>
      <w:pPr>
        <w:pStyle w:val="4"/>
        <w:snapToGrid w:val="0"/>
        <w:jc w:val="center"/>
        <w:rPr>
          <w:rFonts w:ascii="仿宋" w:hAnsi="仿宋" w:eastAsia="仿宋" w:cs="黑体"/>
          <w:sz w:val="28"/>
          <w:szCs w:val="28"/>
        </w:rPr>
      </w:pPr>
      <w:r>
        <w:rPr>
          <w:rFonts w:hint="eastAsia" w:ascii="仿宋" w:hAnsi="仿宋" w:eastAsia="仿宋" w:cs="黑体"/>
          <w:sz w:val="28"/>
          <w:szCs w:val="28"/>
        </w:rPr>
        <w:t>四、供应商资格声明(格式)</w:t>
      </w:r>
    </w:p>
    <w:p>
      <w:pPr>
        <w:widowControl/>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360" w:lineRule="auto"/>
        <w:ind w:firstLine="480" w:firstLineChars="200"/>
        <w:jc w:val="left"/>
        <w:rPr>
          <w:rFonts w:ascii="仿宋" w:hAnsi="仿宋" w:eastAsia="仿宋" w:cs="仿宋"/>
          <w:sz w:val="24"/>
          <w:szCs w:val="24"/>
        </w:rPr>
      </w:pP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3、不符合《政府采购法》第二十二条规定的条件。</w:t>
      </w:r>
    </w:p>
    <w:p>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360" w:lineRule="auto"/>
        <w:jc w:val="left"/>
        <w:rPr>
          <w:rFonts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360" w:lineRule="auto"/>
        <w:jc w:val="left"/>
        <w:rPr>
          <w:rFonts w:ascii="仿宋" w:hAnsi="仿宋" w:eastAsia="仿宋" w:cs="仿宋"/>
          <w:sz w:val="24"/>
          <w:szCs w:val="24"/>
        </w:rPr>
      </w:pPr>
    </w:p>
    <w:p>
      <w:pPr>
        <w:widowControl/>
        <w:adjustRightInd w:val="0"/>
        <w:snapToGrid w:val="0"/>
        <w:spacing w:line="360" w:lineRule="auto"/>
        <w:jc w:val="left"/>
        <w:rPr>
          <w:rFonts w:ascii="仿宋" w:hAnsi="仿宋" w:eastAsia="仿宋" w:cs="仿宋"/>
          <w:sz w:val="24"/>
          <w:szCs w:val="24"/>
        </w:rPr>
      </w:pPr>
    </w:p>
    <w:p>
      <w:pPr>
        <w:pStyle w:val="18"/>
        <w:snapToGrid w:val="0"/>
        <w:spacing w:line="360" w:lineRule="auto"/>
        <w:rPr>
          <w:rFonts w:ascii="仿宋" w:hAnsi="仿宋" w:eastAsia="仿宋"/>
        </w:rPr>
      </w:pPr>
    </w:p>
    <w:p>
      <w:pPr>
        <w:widowControl/>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360" w:lineRule="auto"/>
        <w:jc w:val="left"/>
        <w:rPr>
          <w:rFonts w:ascii="仿宋" w:hAnsi="仿宋" w:eastAsia="仿宋" w:cs="仿宋"/>
          <w:spacing w:val="-2"/>
          <w:kern w:val="0"/>
          <w:sz w:val="24"/>
          <w:szCs w:val="24"/>
        </w:rPr>
      </w:pPr>
    </w:p>
    <w:p>
      <w:pPr>
        <w:widowControl/>
        <w:adjustRightInd w:val="0"/>
        <w:snapToGrid w:val="0"/>
        <w:spacing w:line="360" w:lineRule="auto"/>
        <w:jc w:val="left"/>
        <w:rPr>
          <w:rFonts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360" w:lineRule="auto"/>
        <w:jc w:val="left"/>
        <w:rPr>
          <w:rFonts w:ascii="仿宋" w:hAnsi="仿宋" w:eastAsia="仿宋" w:cs="仿宋"/>
          <w:sz w:val="24"/>
          <w:szCs w:val="24"/>
        </w:rPr>
      </w:pPr>
    </w:p>
    <w:p>
      <w:pPr>
        <w:widowControl/>
        <w:adjustRightInd w:val="0"/>
        <w:snapToGrid w:val="0"/>
        <w:spacing w:line="360" w:lineRule="auto"/>
        <w:jc w:val="left"/>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adjustRightInd w:val="0"/>
        <w:snapToGrid w:val="0"/>
        <w:spacing w:line="360" w:lineRule="auto"/>
        <w:outlineLvl w:val="2"/>
        <w:rPr>
          <w:rFonts w:ascii="仿宋" w:hAnsi="仿宋" w:eastAsia="仿宋" w:cs="仿宋"/>
          <w:b/>
          <w:bCs/>
          <w:sz w:val="24"/>
          <w:szCs w:val="24"/>
        </w:rPr>
      </w:pPr>
      <w:bookmarkStart w:id="2" w:name="_Toc453759156"/>
    </w:p>
    <w:p>
      <w:pPr>
        <w:adjustRightInd w:val="0"/>
        <w:snapToGrid w:val="0"/>
        <w:spacing w:line="360" w:lineRule="auto"/>
        <w:outlineLvl w:val="2"/>
        <w:rPr>
          <w:rFonts w:ascii="仿宋" w:hAnsi="仿宋" w:eastAsia="仿宋" w:cs="黑体"/>
          <w:b/>
          <w:bCs/>
          <w:sz w:val="30"/>
          <w:szCs w:val="30"/>
        </w:rPr>
      </w:pPr>
      <w:r>
        <w:rPr>
          <w:rFonts w:hint="eastAsia" w:ascii="仿宋" w:hAnsi="仿宋" w:eastAsia="仿宋" w:cs="仿宋"/>
          <w:b/>
          <w:bCs/>
          <w:sz w:val="24"/>
          <w:szCs w:val="24"/>
        </w:rPr>
        <w:t xml:space="preserve"> </w:t>
      </w:r>
      <w:r>
        <w:rPr>
          <w:rFonts w:hint="eastAsia" w:ascii="仿宋" w:hAnsi="仿宋" w:eastAsia="仿宋" w:cs="黑体"/>
          <w:b/>
          <w:bCs/>
          <w:sz w:val="30"/>
          <w:szCs w:val="30"/>
        </w:rPr>
        <w:t xml:space="preserve"> </w:t>
      </w:r>
    </w:p>
    <w:p>
      <w:pPr>
        <w:pStyle w:val="18"/>
        <w:rPr>
          <w:rFonts w:ascii="仿宋" w:hAnsi="仿宋" w:eastAsia="仿宋"/>
        </w:rPr>
      </w:pPr>
    </w:p>
    <w:p>
      <w:pPr>
        <w:adjustRightInd w:val="0"/>
        <w:snapToGrid w:val="0"/>
        <w:spacing w:line="360" w:lineRule="auto"/>
        <w:jc w:val="center"/>
        <w:outlineLvl w:val="2"/>
        <w:rPr>
          <w:rFonts w:ascii="仿宋" w:hAnsi="仿宋" w:eastAsia="仿宋" w:cs="仿宋"/>
          <w:b/>
          <w:bCs/>
          <w:sz w:val="28"/>
          <w:szCs w:val="28"/>
        </w:rPr>
      </w:pPr>
      <w:r>
        <w:rPr>
          <w:rFonts w:hint="eastAsia" w:ascii="仿宋" w:hAnsi="仿宋" w:eastAsia="仿宋" w:cs="黑体"/>
          <w:b/>
          <w:bCs/>
          <w:sz w:val="28"/>
          <w:szCs w:val="28"/>
        </w:rPr>
        <w:t xml:space="preserve"> 五、参加本次采购活动前三年内在经营活动中没有重大违法记录的书面声明（格式）</w:t>
      </w:r>
      <w:bookmarkEnd w:id="2"/>
    </w:p>
    <w:p>
      <w:pPr>
        <w:adjustRightInd w:val="0"/>
        <w:snapToGrid w:val="0"/>
        <w:spacing w:line="360" w:lineRule="auto"/>
        <w:rPr>
          <w:rFonts w:ascii="仿宋" w:hAnsi="仿宋" w:eastAsia="仿宋" w:cs="仿宋"/>
          <w:sz w:val="24"/>
          <w:szCs w:val="24"/>
        </w:rPr>
      </w:pPr>
    </w:p>
    <w:p>
      <w:pPr>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360" w:lineRule="auto"/>
        <w:ind w:firstLine="420"/>
        <w:rPr>
          <w:rFonts w:ascii="仿宋" w:hAnsi="仿宋" w:eastAsia="仿宋" w:cs="仿宋"/>
          <w:sz w:val="24"/>
          <w:szCs w:val="24"/>
        </w:rPr>
      </w:pPr>
    </w:p>
    <w:p>
      <w:pPr>
        <w:widowControl/>
        <w:adjustRightInd w:val="0"/>
        <w:snapToGrid w:val="0"/>
        <w:spacing w:line="360" w:lineRule="auto"/>
        <w:ind w:firstLine="420"/>
        <w:rPr>
          <w:rFonts w:ascii="仿宋" w:hAnsi="仿宋" w:eastAsia="仿宋" w:cs="仿宋"/>
          <w:sz w:val="24"/>
          <w:szCs w:val="24"/>
        </w:rPr>
      </w:pPr>
    </w:p>
    <w:p>
      <w:pPr>
        <w:pStyle w:val="18"/>
        <w:snapToGrid w:val="0"/>
        <w:spacing w:line="360" w:lineRule="auto"/>
        <w:rPr>
          <w:rFonts w:ascii="仿宋" w:hAnsi="仿宋" w:eastAsia="仿宋"/>
        </w:rPr>
      </w:pP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snapToGrid w:val="0"/>
        <w:spacing w:line="360" w:lineRule="auto"/>
        <w:ind w:firstLine="1928" w:firstLineChars="600"/>
        <w:rPr>
          <w:rFonts w:ascii="仿宋" w:hAnsi="仿宋" w:eastAsia="仿宋" w:cs="仿宋"/>
          <w:b/>
          <w:bCs/>
          <w:sz w:val="32"/>
          <w:szCs w:val="32"/>
        </w:rPr>
      </w:pPr>
    </w:p>
    <w:p>
      <w:pPr>
        <w:pStyle w:val="6"/>
        <w:snapToGrid w:val="0"/>
        <w:spacing w:line="360" w:lineRule="auto"/>
        <w:ind w:firstLine="1968" w:firstLineChars="700"/>
        <w:rPr>
          <w:rFonts w:ascii="仿宋" w:hAnsi="仿宋" w:eastAsia="仿宋" w:cs="黑体"/>
          <w:b/>
          <w:bCs/>
          <w:sz w:val="28"/>
          <w:szCs w:val="28"/>
        </w:rPr>
      </w:pPr>
      <w:r>
        <w:rPr>
          <w:rFonts w:hint="eastAsia" w:ascii="仿宋" w:hAnsi="仿宋" w:eastAsia="仿宋" w:cs="黑体"/>
          <w:b/>
          <w:bCs/>
          <w:sz w:val="28"/>
          <w:szCs w:val="28"/>
        </w:rPr>
        <w:t>六、招标文件要求提交的相关证明材料</w:t>
      </w:r>
    </w:p>
    <w:p>
      <w:pPr>
        <w:snapToGrid w:val="0"/>
        <w:spacing w:line="360" w:lineRule="auto"/>
        <w:rPr>
          <w:rFonts w:ascii="仿宋" w:hAnsi="仿宋" w:eastAsia="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0DDE2B46"/>
    <w:multiLevelType w:val="multilevel"/>
    <w:tmpl w:val="0DDE2B46"/>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193D21"/>
    <w:rsid w:val="00017579"/>
    <w:rsid w:val="0002018C"/>
    <w:rsid w:val="000A0559"/>
    <w:rsid w:val="000A50B9"/>
    <w:rsid w:val="000C311E"/>
    <w:rsid w:val="00170FAE"/>
    <w:rsid w:val="00174916"/>
    <w:rsid w:val="001C228A"/>
    <w:rsid w:val="0022401B"/>
    <w:rsid w:val="00225D64"/>
    <w:rsid w:val="002727A6"/>
    <w:rsid w:val="002A1777"/>
    <w:rsid w:val="002D11FA"/>
    <w:rsid w:val="00306A13"/>
    <w:rsid w:val="00456B45"/>
    <w:rsid w:val="004F4A91"/>
    <w:rsid w:val="005251CF"/>
    <w:rsid w:val="005679AF"/>
    <w:rsid w:val="005A546E"/>
    <w:rsid w:val="005D2D4F"/>
    <w:rsid w:val="006E3E9D"/>
    <w:rsid w:val="00750CCD"/>
    <w:rsid w:val="007803CE"/>
    <w:rsid w:val="007C6AA7"/>
    <w:rsid w:val="00803D76"/>
    <w:rsid w:val="00816068"/>
    <w:rsid w:val="00880881"/>
    <w:rsid w:val="008A279C"/>
    <w:rsid w:val="0090008C"/>
    <w:rsid w:val="00923F83"/>
    <w:rsid w:val="009A5463"/>
    <w:rsid w:val="00A31D59"/>
    <w:rsid w:val="00A42581"/>
    <w:rsid w:val="00A64933"/>
    <w:rsid w:val="00AC7305"/>
    <w:rsid w:val="00AE5D50"/>
    <w:rsid w:val="00AF39E5"/>
    <w:rsid w:val="00B11C1A"/>
    <w:rsid w:val="00B46671"/>
    <w:rsid w:val="00B562B4"/>
    <w:rsid w:val="00B94DCB"/>
    <w:rsid w:val="00C066BD"/>
    <w:rsid w:val="00C20B4F"/>
    <w:rsid w:val="00C32AF8"/>
    <w:rsid w:val="00CD048F"/>
    <w:rsid w:val="00CD4960"/>
    <w:rsid w:val="00CD5A53"/>
    <w:rsid w:val="00CE5932"/>
    <w:rsid w:val="00D04CCE"/>
    <w:rsid w:val="00D13CB8"/>
    <w:rsid w:val="00D3602A"/>
    <w:rsid w:val="00D630FC"/>
    <w:rsid w:val="00D64C04"/>
    <w:rsid w:val="00D7408B"/>
    <w:rsid w:val="00E03F73"/>
    <w:rsid w:val="00E0654B"/>
    <w:rsid w:val="00E27C70"/>
    <w:rsid w:val="00E410EB"/>
    <w:rsid w:val="00E46C53"/>
    <w:rsid w:val="00E6640A"/>
    <w:rsid w:val="00EC6E56"/>
    <w:rsid w:val="00EF4881"/>
    <w:rsid w:val="00F1210D"/>
    <w:rsid w:val="00F20A63"/>
    <w:rsid w:val="00F770E8"/>
    <w:rsid w:val="00F87EF5"/>
    <w:rsid w:val="00F976AA"/>
    <w:rsid w:val="00FB2458"/>
    <w:rsid w:val="00FB78C3"/>
    <w:rsid w:val="03D91AF0"/>
    <w:rsid w:val="04EA6F0A"/>
    <w:rsid w:val="058E5A24"/>
    <w:rsid w:val="0A8C1D45"/>
    <w:rsid w:val="0B2C49FD"/>
    <w:rsid w:val="0C193D21"/>
    <w:rsid w:val="13060DC8"/>
    <w:rsid w:val="18083490"/>
    <w:rsid w:val="1A913825"/>
    <w:rsid w:val="1D84465B"/>
    <w:rsid w:val="21004870"/>
    <w:rsid w:val="27F50D60"/>
    <w:rsid w:val="39924D80"/>
    <w:rsid w:val="3EC9403E"/>
    <w:rsid w:val="44164890"/>
    <w:rsid w:val="44AE6A69"/>
    <w:rsid w:val="495A6DDE"/>
    <w:rsid w:val="51EE17AD"/>
    <w:rsid w:val="666D6853"/>
    <w:rsid w:val="66EE2BD5"/>
    <w:rsid w:val="77E54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3">
    <w:name w:val="heading 1"/>
    <w:basedOn w:val="1"/>
    <w:next w:val="1"/>
    <w:qFormat/>
    <w:uiPriority w:val="0"/>
    <w:pPr>
      <w:keepNext/>
      <w:suppressAutoHyphens/>
      <w:jc w:val="center"/>
      <w:outlineLvl w:val="0"/>
    </w:pPr>
    <w:rPr>
      <w:rFonts w:ascii="Times New Roman" w:hAnsi="Times New Roman" w:cs="Times New Roman"/>
      <w:b/>
      <w:bCs/>
      <w:sz w:val="24"/>
      <w:szCs w:val="24"/>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rFonts w:ascii="仿宋_GB2312" w:eastAsia="仿宋_GB2312"/>
      <w:sz w:val="30"/>
      <w:szCs w:val="24"/>
    </w:rPr>
  </w:style>
  <w:style w:type="paragraph" w:styleId="6">
    <w:name w:val="Normal Indent"/>
    <w:basedOn w:val="1"/>
    <w:qFormat/>
    <w:uiPriority w:val="0"/>
    <w:pPr>
      <w:ind w:firstLine="420" w:firstLineChars="200"/>
    </w:pPr>
  </w:style>
  <w:style w:type="paragraph" w:styleId="7">
    <w:name w:val="annotation text"/>
    <w:basedOn w:val="1"/>
    <w:link w:val="27"/>
    <w:qFormat/>
    <w:uiPriority w:val="0"/>
    <w:pPr>
      <w:jc w:val="left"/>
    </w:pPr>
  </w:style>
  <w:style w:type="paragraph" w:styleId="8">
    <w:name w:val="Body Text Indent"/>
    <w:basedOn w:val="1"/>
    <w:next w:val="9"/>
    <w:qFormat/>
    <w:uiPriority w:val="0"/>
    <w:pPr>
      <w:suppressAutoHyphens/>
      <w:spacing w:before="100" w:beforeAutospacing="1" w:after="120"/>
      <w:ind w:left="200"/>
    </w:pPr>
    <w:rPr>
      <w:rFonts w:ascii="Times New Roman" w:hAnsi="Times New Roman" w:cs="Times New Roman"/>
    </w:r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eastAsia="仿宋_GB2312"/>
      <w:kern w:val="0"/>
      <w:sz w:val="24"/>
      <w:szCs w:val="24"/>
    </w:rPr>
  </w:style>
  <w:style w:type="paragraph" w:styleId="11">
    <w:name w:val="Body Text Indent 2"/>
    <w:basedOn w:val="1"/>
    <w:next w:val="1"/>
    <w:qFormat/>
    <w:uiPriority w:val="0"/>
    <w:pPr>
      <w:spacing w:after="120" w:line="480" w:lineRule="auto"/>
      <w:ind w:left="420" w:leftChars="200"/>
    </w:pPr>
  </w:style>
  <w:style w:type="paragraph" w:styleId="12">
    <w:name w:val="Balloon Text"/>
    <w:basedOn w:val="1"/>
    <w:link w:val="26"/>
    <w:qFormat/>
    <w:uiPriority w:val="0"/>
    <w:rPr>
      <w:sz w:val="18"/>
      <w:szCs w:val="18"/>
    </w:rPr>
  </w:style>
  <w:style w:type="paragraph" w:styleId="13">
    <w:name w:val="footer"/>
    <w:basedOn w:val="1"/>
    <w:link w:val="30"/>
    <w:qFormat/>
    <w:uiPriority w:val="0"/>
    <w:pPr>
      <w:tabs>
        <w:tab w:val="center" w:pos="4153"/>
        <w:tab w:val="right" w:pos="8306"/>
      </w:tabs>
      <w:snapToGrid w:val="0"/>
      <w:jc w:val="left"/>
    </w:pPr>
    <w:rPr>
      <w:sz w:val="18"/>
      <w:szCs w:val="18"/>
    </w:rPr>
  </w:style>
  <w:style w:type="paragraph" w:styleId="14">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6">
    <w:name w:val="Title"/>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17">
    <w:name w:val="annotation subject"/>
    <w:basedOn w:val="7"/>
    <w:next w:val="7"/>
    <w:link w:val="28"/>
    <w:qFormat/>
    <w:uiPriority w:val="0"/>
    <w:rPr>
      <w:b/>
      <w:bCs/>
    </w:rPr>
  </w:style>
  <w:style w:type="paragraph" w:styleId="18">
    <w:name w:val="Body Text First Indent 2"/>
    <w:basedOn w:val="8"/>
    <w:qFormat/>
    <w:uiPriority w:val="0"/>
    <w:pPr>
      <w:ind w:firstLine="420" w:firstLineChars="200"/>
    </w:pPr>
  </w:style>
  <w:style w:type="table" w:styleId="20">
    <w:name w:val="Table Grid"/>
    <w:basedOn w:val="19"/>
    <w:qFormat/>
    <w:uiPriority w:val="59"/>
    <w:pPr>
      <w:numPr>
        <w:numId w:val="1"/>
      </w:numPr>
      <w:ind w:left="0" w:firstLine="0"/>
    </w:pPr>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0"/>
    <w:rPr>
      <w:b/>
    </w:rPr>
  </w:style>
  <w:style w:type="character" w:styleId="23">
    <w:name w:val="annotation reference"/>
    <w:basedOn w:val="21"/>
    <w:qFormat/>
    <w:uiPriority w:val="0"/>
    <w:rPr>
      <w:sz w:val="21"/>
      <w:szCs w:val="21"/>
    </w:rPr>
  </w:style>
  <w:style w:type="paragraph" w:customStyle="1" w:styleId="24">
    <w:name w:val="目录 81"/>
    <w:basedOn w:val="1"/>
    <w:next w:val="1"/>
    <w:qFormat/>
    <w:uiPriority w:val="0"/>
    <w:pPr>
      <w:ind w:left="2940"/>
    </w:pPr>
  </w:style>
  <w:style w:type="paragraph" w:styleId="25">
    <w:name w:val="List Paragraph"/>
    <w:basedOn w:val="1"/>
    <w:qFormat/>
    <w:uiPriority w:val="0"/>
    <w:pPr>
      <w:ind w:firstLine="420" w:firstLineChars="200"/>
    </w:pPr>
  </w:style>
  <w:style w:type="character" w:customStyle="1" w:styleId="26">
    <w:name w:val="批注框文本 Char"/>
    <w:basedOn w:val="21"/>
    <w:link w:val="12"/>
    <w:qFormat/>
    <w:uiPriority w:val="0"/>
    <w:rPr>
      <w:rFonts w:ascii="Calibri" w:hAnsi="Calibri" w:eastAsia="宋体" w:cs="宋体"/>
      <w:kern w:val="2"/>
      <w:sz w:val="18"/>
      <w:szCs w:val="18"/>
    </w:rPr>
  </w:style>
  <w:style w:type="character" w:customStyle="1" w:styleId="27">
    <w:name w:val="批注文字 Char"/>
    <w:basedOn w:val="21"/>
    <w:link w:val="7"/>
    <w:qFormat/>
    <w:uiPriority w:val="0"/>
    <w:rPr>
      <w:rFonts w:ascii="Calibri" w:hAnsi="Calibri" w:eastAsia="宋体" w:cs="宋体"/>
      <w:kern w:val="2"/>
      <w:sz w:val="21"/>
      <w:szCs w:val="21"/>
    </w:rPr>
  </w:style>
  <w:style w:type="character" w:customStyle="1" w:styleId="28">
    <w:name w:val="批注主题 Char"/>
    <w:basedOn w:val="27"/>
    <w:link w:val="17"/>
    <w:qFormat/>
    <w:uiPriority w:val="0"/>
    <w:rPr>
      <w:rFonts w:ascii="Calibri" w:hAnsi="Calibri" w:eastAsia="宋体" w:cs="宋体"/>
      <w:b/>
      <w:bCs/>
      <w:kern w:val="2"/>
      <w:sz w:val="21"/>
      <w:szCs w:val="21"/>
    </w:rPr>
  </w:style>
  <w:style w:type="character" w:customStyle="1" w:styleId="29">
    <w:name w:val="页眉 Char"/>
    <w:basedOn w:val="21"/>
    <w:link w:val="14"/>
    <w:qFormat/>
    <w:uiPriority w:val="0"/>
    <w:rPr>
      <w:rFonts w:ascii="Calibri" w:hAnsi="Calibri" w:eastAsia="宋体" w:cs="宋体"/>
      <w:kern w:val="2"/>
      <w:sz w:val="18"/>
      <w:szCs w:val="18"/>
    </w:rPr>
  </w:style>
  <w:style w:type="character" w:customStyle="1" w:styleId="30">
    <w:name w:val="页脚 Char"/>
    <w:basedOn w:val="21"/>
    <w:link w:val="13"/>
    <w:qFormat/>
    <w:uiPriority w:val="0"/>
    <w:rPr>
      <w:rFonts w:ascii="Calibri" w:hAnsi="Calibri" w:eastAsia="宋体" w:cs="宋体"/>
      <w:kern w:val="2"/>
      <w:sz w:val="18"/>
      <w:szCs w:val="18"/>
    </w:rPr>
  </w:style>
  <w:style w:type="paragraph" w:customStyle="1" w:styleId="31">
    <w:name w:val="样式"/>
    <w:qFormat/>
    <w:uiPriority w:val="0"/>
    <w:pPr>
      <w:widowControl w:val="0"/>
      <w:autoSpaceDE w:val="0"/>
      <w:autoSpaceDN w:val="0"/>
      <w:adjustRightInd w:val="0"/>
    </w:pPr>
    <w:rPr>
      <w:rFonts w:ascii="Arial" w:hAnsi="Arial" w:eastAsia="宋体" w:cs="Arial"/>
      <w:sz w:val="24"/>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numbering.xml" Type="http://schemas.openxmlformats.org/officeDocument/2006/relationships/numbering"/><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9642</Words>
  <Characters>9908</Characters>
  <Lines>81</Lines>
  <Paragraphs>22</Paragraphs>
  <TotalTime>3</TotalTime>
  <ScaleCrop>false</ScaleCrop>
  <LinksUpToDate>false</LinksUpToDate>
  <CharactersWithSpaces>10965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2022-09-27T03:16:00Z</dcterms:created>
  <dc:creator>Administrator</dc:creator>
  <cp:lastModifiedBy>Administrator</cp:lastModifiedBy>
  <cp:lastPrinted>2023-10-19T01:45:00Z</cp:lastPrinted>
  <dcterms:modified xsi:type="dcterms:W3CDTF">2023-10-24T02:52:01Z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6266484C3DFF48B4993641CEF64C02FE_13</vt:lpwstr>
  </property>
</Properties>
</file>