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sz w:val="32"/>
          <w:szCs w:val="32"/>
          <w:lang w:val="en-US" w:eastAsia="zh-CN"/>
        </w:rPr>
      </w:pPr>
      <w:bookmarkStart w:id="0" w:name="_GoBack"/>
      <w:r>
        <w:rPr>
          <w:rFonts w:hint="eastAsia" w:ascii="黑体" w:hAnsi="黑体" w:eastAsia="黑体" w:cs="黑体"/>
          <w:bCs/>
          <w:sz w:val="32"/>
          <w:szCs w:val="32"/>
        </w:rPr>
        <w:t>附件</w:t>
      </w:r>
      <w:r>
        <w:rPr>
          <w:rFonts w:hint="eastAsia" w:ascii="黑体" w:hAnsi="黑体" w:eastAsia="黑体" w:cs="黑体"/>
          <w:bCs/>
          <w:sz w:val="32"/>
          <w:szCs w:val="32"/>
          <w:lang w:val="en-US" w:eastAsia="zh-CN"/>
        </w:rPr>
        <w:t>10</w:t>
      </w:r>
    </w:p>
    <w:bookmarkEnd w:id="0"/>
    <w:p>
      <w:pPr>
        <w:jc w:val="center"/>
        <w:rPr>
          <w:rFonts w:hint="eastAsia"/>
          <w:b/>
          <w:sz w:val="32"/>
          <w:szCs w:val="32"/>
        </w:rPr>
      </w:pPr>
      <w:r>
        <w:rPr>
          <w:rFonts w:hint="eastAsia" w:ascii="宋体" w:hAnsi="宋体" w:cs="宋体"/>
          <w:b/>
          <w:sz w:val="32"/>
          <w:szCs w:val="32"/>
        </w:rPr>
        <w:t>湖南科技学院2018年度校级教改项目暂缓结题、准予延期及撤项名单</w:t>
      </w:r>
    </w:p>
    <w:tbl>
      <w:tblPr>
        <w:tblStyle w:val="4"/>
        <w:tblW w:w="903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41"/>
        <w:gridCol w:w="1063"/>
        <w:gridCol w:w="5058"/>
        <w:gridCol w:w="1036"/>
        <w:gridCol w:w="12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37" w:hRule="atLeast"/>
          <w:jc w:val="center"/>
        </w:trPr>
        <w:tc>
          <w:tcPr>
            <w:tcW w:w="641" w:type="dxa"/>
            <w:noWrap w:val="0"/>
            <w:vAlign w:val="center"/>
          </w:tcPr>
          <w:p>
            <w:pPr>
              <w:pStyle w:val="2"/>
              <w:snapToGrid w:val="0"/>
              <w:ind w:firstLine="0"/>
              <w:jc w:val="center"/>
              <w:rPr>
                <w:rFonts w:hint="eastAsia" w:ascii="宋体" w:hAnsi="宋体" w:cs="宋体"/>
                <w:color w:val="auto"/>
                <w:szCs w:val="21"/>
              </w:rPr>
            </w:pPr>
            <w:r>
              <w:rPr>
                <w:rFonts w:hint="eastAsia" w:ascii="宋体" w:hAnsi="宋体" w:cs="宋体"/>
                <w:color w:val="auto"/>
                <w:szCs w:val="21"/>
              </w:rPr>
              <w:t>序号</w:t>
            </w:r>
          </w:p>
        </w:tc>
        <w:tc>
          <w:tcPr>
            <w:tcW w:w="1063" w:type="dxa"/>
            <w:noWrap w:val="0"/>
            <w:vAlign w:val="center"/>
          </w:tcPr>
          <w:p>
            <w:pPr>
              <w:pStyle w:val="2"/>
              <w:snapToGrid w:val="0"/>
              <w:ind w:firstLine="0"/>
              <w:jc w:val="center"/>
              <w:rPr>
                <w:rFonts w:hint="eastAsia" w:ascii="宋体" w:hAnsi="宋体" w:cs="宋体"/>
                <w:color w:val="auto"/>
                <w:szCs w:val="21"/>
              </w:rPr>
            </w:pPr>
            <w:r>
              <w:rPr>
                <w:rFonts w:hint="eastAsia" w:ascii="宋体" w:hAnsi="宋体" w:cs="宋体"/>
                <w:color w:val="auto"/>
                <w:szCs w:val="21"/>
              </w:rPr>
              <w:t>立项年份</w:t>
            </w:r>
          </w:p>
        </w:tc>
        <w:tc>
          <w:tcPr>
            <w:tcW w:w="5058" w:type="dxa"/>
            <w:noWrap w:val="0"/>
            <w:vAlign w:val="center"/>
          </w:tcPr>
          <w:p>
            <w:pPr>
              <w:pStyle w:val="2"/>
              <w:snapToGrid w:val="0"/>
              <w:ind w:firstLine="0"/>
              <w:jc w:val="center"/>
              <w:rPr>
                <w:rFonts w:hint="eastAsia" w:ascii="宋体" w:hAnsi="宋体" w:cs="宋体"/>
                <w:color w:val="auto"/>
                <w:szCs w:val="21"/>
              </w:rPr>
            </w:pPr>
            <w:r>
              <w:rPr>
                <w:rFonts w:hint="eastAsia" w:ascii="宋体" w:hAnsi="宋体" w:cs="宋体"/>
                <w:color w:val="auto"/>
                <w:szCs w:val="21"/>
              </w:rPr>
              <w:t>项目名称</w:t>
            </w:r>
          </w:p>
        </w:tc>
        <w:tc>
          <w:tcPr>
            <w:tcW w:w="1036" w:type="dxa"/>
            <w:noWrap w:val="0"/>
            <w:vAlign w:val="center"/>
          </w:tcPr>
          <w:p>
            <w:pPr>
              <w:pStyle w:val="2"/>
              <w:snapToGrid w:val="0"/>
              <w:ind w:firstLine="0"/>
              <w:jc w:val="center"/>
              <w:rPr>
                <w:rFonts w:hint="eastAsia" w:ascii="宋体" w:hAnsi="宋体" w:cs="宋体"/>
                <w:color w:val="auto"/>
                <w:szCs w:val="21"/>
              </w:rPr>
            </w:pPr>
            <w:r>
              <w:rPr>
                <w:rFonts w:hint="eastAsia" w:ascii="宋体" w:hAnsi="宋体" w:cs="宋体"/>
                <w:color w:val="auto"/>
                <w:szCs w:val="21"/>
              </w:rPr>
              <w:t>主持人</w:t>
            </w:r>
          </w:p>
        </w:tc>
        <w:tc>
          <w:tcPr>
            <w:tcW w:w="1234" w:type="dxa"/>
            <w:noWrap w:val="0"/>
            <w:vAlign w:val="center"/>
          </w:tcPr>
          <w:p>
            <w:pPr>
              <w:snapToGrid w:val="0"/>
              <w:jc w:val="center"/>
              <w:rPr>
                <w:rFonts w:hint="eastAsia" w:ascii="宋体" w:hAnsi="宋体" w:cs="宋体"/>
                <w:szCs w:val="21"/>
              </w:rPr>
            </w:pPr>
            <w:r>
              <w:rPr>
                <w:rFonts w:hint="eastAsia" w:ascii="宋体" w:hAnsi="宋体" w:cs="宋体"/>
                <w:szCs w:val="21"/>
              </w:rPr>
              <w:t>验收结果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78" w:hRule="atLeast"/>
          <w:jc w:val="center"/>
        </w:trPr>
        <w:tc>
          <w:tcPr>
            <w:tcW w:w="641" w:type="dxa"/>
            <w:noWrap w:val="0"/>
            <w:vAlign w:val="center"/>
          </w:tcPr>
          <w:p>
            <w:pPr>
              <w:pStyle w:val="2"/>
              <w:snapToGrid w:val="0"/>
              <w:ind w:firstLine="0"/>
              <w:jc w:val="center"/>
              <w:rPr>
                <w:rFonts w:hint="eastAsia" w:ascii="宋体" w:hAnsi="宋体" w:cs="宋体"/>
                <w:color w:val="auto"/>
                <w:szCs w:val="21"/>
              </w:rPr>
            </w:pPr>
            <w:r>
              <w:rPr>
                <w:rFonts w:hint="eastAsia" w:ascii="宋体" w:hAnsi="宋体" w:cs="宋体"/>
                <w:color w:val="auto"/>
                <w:szCs w:val="21"/>
              </w:rPr>
              <w:t>1</w:t>
            </w:r>
          </w:p>
        </w:tc>
        <w:tc>
          <w:tcPr>
            <w:tcW w:w="1063" w:type="dxa"/>
            <w:noWrap w:val="0"/>
            <w:vAlign w:val="center"/>
          </w:tcPr>
          <w:p>
            <w:pPr>
              <w:pStyle w:val="2"/>
              <w:snapToGrid w:val="0"/>
              <w:ind w:firstLine="0"/>
              <w:jc w:val="center"/>
              <w:rPr>
                <w:rFonts w:hint="eastAsia" w:ascii="宋体" w:hAnsi="宋体" w:cs="宋体"/>
                <w:color w:val="auto"/>
                <w:szCs w:val="21"/>
              </w:rPr>
            </w:pPr>
            <w:r>
              <w:rPr>
                <w:rFonts w:hint="eastAsia" w:ascii="宋体" w:hAnsi="宋体" w:cs="宋体"/>
                <w:color w:val="auto"/>
                <w:szCs w:val="21"/>
              </w:rPr>
              <w:t>2016</w:t>
            </w:r>
          </w:p>
        </w:tc>
        <w:tc>
          <w:tcPr>
            <w:tcW w:w="5058" w:type="dxa"/>
            <w:noWrap w:val="0"/>
            <w:vAlign w:val="center"/>
          </w:tcPr>
          <w:p>
            <w:pPr>
              <w:pStyle w:val="2"/>
              <w:snapToGrid w:val="0"/>
              <w:ind w:firstLine="0"/>
              <w:jc w:val="left"/>
              <w:rPr>
                <w:rFonts w:hint="eastAsia" w:ascii="宋体" w:hAnsi="宋体" w:cs="宋体"/>
                <w:color w:val="auto"/>
                <w:szCs w:val="21"/>
              </w:rPr>
            </w:pPr>
            <w:r>
              <w:rPr>
                <w:rFonts w:hint="eastAsia" w:ascii="宋体" w:hAnsi="宋体" w:cs="宋体"/>
                <w:color w:val="auto"/>
                <w:szCs w:val="21"/>
              </w:rPr>
              <w:t>朴素哲学思想在本科院校实验、实践教学中的研究与应用</w:t>
            </w:r>
          </w:p>
        </w:tc>
        <w:tc>
          <w:tcPr>
            <w:tcW w:w="1036" w:type="dxa"/>
            <w:noWrap w:val="0"/>
            <w:vAlign w:val="center"/>
          </w:tcPr>
          <w:p>
            <w:pPr>
              <w:pStyle w:val="2"/>
              <w:snapToGrid w:val="0"/>
              <w:ind w:firstLine="0"/>
              <w:jc w:val="center"/>
              <w:rPr>
                <w:rFonts w:hint="eastAsia" w:ascii="宋体" w:hAnsi="宋体" w:cs="宋体"/>
                <w:color w:val="auto"/>
                <w:szCs w:val="21"/>
              </w:rPr>
            </w:pPr>
            <w:r>
              <w:rPr>
                <w:rFonts w:hint="eastAsia" w:ascii="宋体" w:hAnsi="宋体" w:cs="宋体"/>
                <w:color w:val="auto"/>
                <w:szCs w:val="21"/>
              </w:rPr>
              <w:t>周鹏</w:t>
            </w:r>
          </w:p>
        </w:tc>
        <w:tc>
          <w:tcPr>
            <w:tcW w:w="1234" w:type="dxa"/>
            <w:noWrap w:val="0"/>
            <w:vAlign w:val="center"/>
          </w:tcPr>
          <w:p>
            <w:pPr>
              <w:snapToGrid w:val="0"/>
              <w:jc w:val="center"/>
              <w:rPr>
                <w:rFonts w:hint="eastAsia" w:ascii="宋体" w:hAnsi="宋体" w:cs="宋体"/>
                <w:szCs w:val="21"/>
              </w:rPr>
            </w:pPr>
            <w:r>
              <w:rPr>
                <w:rFonts w:hint="eastAsia" w:ascii="宋体" w:hAnsi="宋体" w:cs="宋体"/>
                <w:szCs w:val="21"/>
              </w:rPr>
              <w:t>暂缓结题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78" w:hRule="atLeast"/>
          <w:jc w:val="center"/>
        </w:trPr>
        <w:tc>
          <w:tcPr>
            <w:tcW w:w="641" w:type="dxa"/>
            <w:noWrap w:val="0"/>
            <w:vAlign w:val="center"/>
          </w:tcPr>
          <w:p>
            <w:pPr>
              <w:pStyle w:val="2"/>
              <w:snapToGrid w:val="0"/>
              <w:ind w:firstLine="0"/>
              <w:jc w:val="center"/>
              <w:rPr>
                <w:rFonts w:hint="eastAsia" w:ascii="宋体" w:hAnsi="宋体" w:cs="宋体"/>
                <w:color w:val="auto"/>
                <w:szCs w:val="21"/>
              </w:rPr>
            </w:pPr>
            <w:r>
              <w:rPr>
                <w:rFonts w:hint="eastAsia" w:ascii="宋体" w:hAnsi="宋体" w:cs="宋体"/>
                <w:color w:val="auto"/>
                <w:szCs w:val="21"/>
              </w:rPr>
              <w:t>2</w:t>
            </w:r>
          </w:p>
        </w:tc>
        <w:tc>
          <w:tcPr>
            <w:tcW w:w="1063" w:type="dxa"/>
            <w:noWrap w:val="0"/>
            <w:vAlign w:val="center"/>
          </w:tcPr>
          <w:p>
            <w:pPr>
              <w:pStyle w:val="2"/>
              <w:snapToGrid w:val="0"/>
              <w:ind w:firstLine="0"/>
              <w:jc w:val="center"/>
              <w:rPr>
                <w:rFonts w:hint="eastAsia" w:ascii="宋体" w:hAnsi="宋体" w:cs="宋体"/>
                <w:color w:val="auto"/>
                <w:szCs w:val="21"/>
              </w:rPr>
            </w:pPr>
            <w:r>
              <w:rPr>
                <w:rFonts w:hint="eastAsia" w:ascii="宋体" w:hAnsi="宋体" w:cs="宋体"/>
                <w:color w:val="auto"/>
                <w:szCs w:val="21"/>
              </w:rPr>
              <w:t>2016</w:t>
            </w:r>
          </w:p>
        </w:tc>
        <w:tc>
          <w:tcPr>
            <w:tcW w:w="5058" w:type="dxa"/>
            <w:noWrap w:val="0"/>
            <w:vAlign w:val="center"/>
          </w:tcPr>
          <w:p>
            <w:pPr>
              <w:pStyle w:val="2"/>
              <w:snapToGrid w:val="0"/>
              <w:ind w:firstLine="0"/>
              <w:jc w:val="left"/>
              <w:rPr>
                <w:rFonts w:hint="eastAsia" w:ascii="宋体" w:hAnsi="宋体" w:cs="宋体"/>
                <w:color w:val="auto"/>
                <w:szCs w:val="21"/>
              </w:rPr>
            </w:pPr>
            <w:r>
              <w:rPr>
                <w:rFonts w:hint="eastAsia" w:ascii="宋体" w:hAnsi="宋体" w:cs="宋体"/>
                <w:color w:val="auto"/>
                <w:szCs w:val="21"/>
              </w:rPr>
              <w:t>药物分析课程考试与教学质量评价改革的研究和实践</w:t>
            </w:r>
          </w:p>
        </w:tc>
        <w:tc>
          <w:tcPr>
            <w:tcW w:w="1036" w:type="dxa"/>
            <w:noWrap w:val="0"/>
            <w:vAlign w:val="center"/>
          </w:tcPr>
          <w:p>
            <w:pPr>
              <w:pStyle w:val="2"/>
              <w:snapToGrid w:val="0"/>
              <w:ind w:firstLine="0"/>
              <w:jc w:val="center"/>
              <w:rPr>
                <w:rFonts w:hint="eastAsia" w:ascii="宋体" w:hAnsi="宋体" w:cs="宋体"/>
                <w:color w:val="auto"/>
                <w:szCs w:val="21"/>
              </w:rPr>
            </w:pPr>
            <w:r>
              <w:rPr>
                <w:rFonts w:hint="eastAsia" w:ascii="宋体" w:hAnsi="宋体" w:cs="宋体"/>
                <w:color w:val="auto"/>
                <w:szCs w:val="21"/>
              </w:rPr>
              <w:t>罗小芳</w:t>
            </w:r>
          </w:p>
        </w:tc>
        <w:tc>
          <w:tcPr>
            <w:tcW w:w="1234" w:type="dxa"/>
            <w:noWrap w:val="0"/>
            <w:vAlign w:val="center"/>
          </w:tcPr>
          <w:p>
            <w:pPr>
              <w:jc w:val="center"/>
              <w:rPr>
                <w:rFonts w:hint="eastAsia" w:ascii="宋体" w:hAnsi="宋体" w:cs="宋体"/>
                <w:szCs w:val="21"/>
              </w:rPr>
            </w:pPr>
            <w:r>
              <w:rPr>
                <w:rFonts w:hint="eastAsia" w:ascii="宋体" w:hAnsi="宋体" w:cs="宋体"/>
                <w:szCs w:val="21"/>
              </w:rPr>
              <w:t>暂缓结题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78" w:hRule="atLeast"/>
          <w:jc w:val="center"/>
        </w:trPr>
        <w:tc>
          <w:tcPr>
            <w:tcW w:w="641" w:type="dxa"/>
            <w:noWrap w:val="0"/>
            <w:vAlign w:val="center"/>
          </w:tcPr>
          <w:p>
            <w:pPr>
              <w:pStyle w:val="2"/>
              <w:snapToGrid w:val="0"/>
              <w:ind w:firstLine="0"/>
              <w:jc w:val="center"/>
              <w:rPr>
                <w:rFonts w:hint="eastAsia" w:ascii="宋体" w:hAnsi="宋体" w:cs="宋体"/>
                <w:color w:val="auto"/>
                <w:szCs w:val="21"/>
              </w:rPr>
            </w:pPr>
            <w:r>
              <w:rPr>
                <w:rFonts w:hint="eastAsia" w:ascii="宋体" w:hAnsi="宋体" w:cs="宋体"/>
                <w:color w:val="auto"/>
                <w:szCs w:val="21"/>
              </w:rPr>
              <w:t>3</w:t>
            </w:r>
          </w:p>
        </w:tc>
        <w:tc>
          <w:tcPr>
            <w:tcW w:w="1063" w:type="dxa"/>
            <w:noWrap w:val="0"/>
            <w:vAlign w:val="center"/>
          </w:tcPr>
          <w:p>
            <w:pPr>
              <w:pStyle w:val="2"/>
              <w:snapToGrid w:val="0"/>
              <w:ind w:firstLine="0"/>
              <w:jc w:val="center"/>
              <w:rPr>
                <w:rFonts w:hint="eastAsia" w:ascii="宋体" w:hAnsi="宋体" w:cs="宋体"/>
                <w:color w:val="auto"/>
                <w:szCs w:val="21"/>
              </w:rPr>
            </w:pPr>
            <w:r>
              <w:rPr>
                <w:rFonts w:hint="eastAsia" w:ascii="宋体" w:hAnsi="宋体" w:cs="宋体"/>
                <w:color w:val="auto"/>
                <w:szCs w:val="21"/>
              </w:rPr>
              <w:t>2016</w:t>
            </w:r>
          </w:p>
        </w:tc>
        <w:tc>
          <w:tcPr>
            <w:tcW w:w="5058" w:type="dxa"/>
            <w:noWrap w:val="0"/>
            <w:vAlign w:val="center"/>
          </w:tcPr>
          <w:p>
            <w:pPr>
              <w:pStyle w:val="2"/>
              <w:snapToGrid w:val="0"/>
              <w:ind w:firstLine="0"/>
              <w:jc w:val="left"/>
              <w:rPr>
                <w:rFonts w:hint="eastAsia" w:ascii="宋体" w:hAnsi="宋体" w:cs="宋体"/>
                <w:szCs w:val="21"/>
              </w:rPr>
            </w:pPr>
            <w:r>
              <w:rPr>
                <w:rFonts w:hint="eastAsia" w:ascii="宋体" w:hAnsi="宋体" w:cs="宋体"/>
                <w:color w:val="auto"/>
                <w:szCs w:val="21"/>
              </w:rPr>
              <w:t>基于微信平台的有机化学课程改革模式的探索</w:t>
            </w:r>
          </w:p>
        </w:tc>
        <w:tc>
          <w:tcPr>
            <w:tcW w:w="1036" w:type="dxa"/>
            <w:noWrap w:val="0"/>
            <w:vAlign w:val="center"/>
          </w:tcPr>
          <w:p>
            <w:pPr>
              <w:pStyle w:val="2"/>
              <w:snapToGrid w:val="0"/>
              <w:ind w:firstLine="0"/>
              <w:jc w:val="center"/>
              <w:rPr>
                <w:rFonts w:hint="eastAsia" w:ascii="宋体" w:hAnsi="宋体" w:cs="宋体"/>
                <w:szCs w:val="21"/>
              </w:rPr>
            </w:pPr>
            <w:r>
              <w:rPr>
                <w:rFonts w:hint="eastAsia" w:ascii="宋体" w:hAnsi="宋体" w:cs="宋体"/>
                <w:color w:val="auto"/>
                <w:szCs w:val="21"/>
              </w:rPr>
              <w:t>吴超</w:t>
            </w:r>
          </w:p>
        </w:tc>
        <w:tc>
          <w:tcPr>
            <w:tcW w:w="1234" w:type="dxa"/>
            <w:noWrap w:val="0"/>
            <w:vAlign w:val="center"/>
          </w:tcPr>
          <w:p>
            <w:pPr>
              <w:snapToGrid w:val="0"/>
              <w:jc w:val="center"/>
              <w:rPr>
                <w:rFonts w:hint="eastAsia" w:ascii="宋体" w:hAnsi="宋体" w:cs="宋体"/>
                <w:szCs w:val="21"/>
              </w:rPr>
            </w:pPr>
            <w:r>
              <w:rPr>
                <w:rFonts w:hint="eastAsia" w:ascii="宋体" w:hAnsi="宋体" w:cs="宋体"/>
                <w:szCs w:val="21"/>
              </w:rPr>
              <w:t>暂缓结题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78" w:hRule="atLeast"/>
          <w:jc w:val="center"/>
        </w:trPr>
        <w:tc>
          <w:tcPr>
            <w:tcW w:w="641" w:type="dxa"/>
            <w:noWrap w:val="0"/>
            <w:vAlign w:val="center"/>
          </w:tcPr>
          <w:p>
            <w:pPr>
              <w:pStyle w:val="2"/>
              <w:snapToGrid w:val="0"/>
              <w:ind w:firstLine="0"/>
              <w:jc w:val="center"/>
              <w:rPr>
                <w:rFonts w:hint="eastAsia" w:ascii="宋体" w:hAnsi="宋体" w:cs="宋体"/>
                <w:color w:val="auto"/>
                <w:szCs w:val="21"/>
              </w:rPr>
            </w:pPr>
            <w:r>
              <w:rPr>
                <w:rFonts w:hint="eastAsia" w:ascii="宋体" w:hAnsi="宋体" w:cs="宋体"/>
                <w:color w:val="auto"/>
                <w:szCs w:val="21"/>
              </w:rPr>
              <w:t>4</w:t>
            </w:r>
          </w:p>
        </w:tc>
        <w:tc>
          <w:tcPr>
            <w:tcW w:w="1063" w:type="dxa"/>
            <w:noWrap w:val="0"/>
            <w:vAlign w:val="center"/>
          </w:tcPr>
          <w:p>
            <w:pPr>
              <w:pStyle w:val="2"/>
              <w:snapToGrid w:val="0"/>
              <w:ind w:firstLine="0"/>
              <w:jc w:val="center"/>
              <w:rPr>
                <w:rFonts w:hint="eastAsia" w:ascii="宋体" w:hAnsi="宋体" w:cs="宋体"/>
                <w:color w:val="auto"/>
                <w:szCs w:val="21"/>
              </w:rPr>
            </w:pPr>
            <w:r>
              <w:rPr>
                <w:rFonts w:hint="eastAsia" w:ascii="宋体" w:hAnsi="宋体" w:cs="宋体"/>
                <w:color w:val="auto"/>
                <w:szCs w:val="21"/>
              </w:rPr>
              <w:t>2016</w:t>
            </w:r>
          </w:p>
        </w:tc>
        <w:tc>
          <w:tcPr>
            <w:tcW w:w="5058" w:type="dxa"/>
            <w:noWrap w:val="0"/>
            <w:vAlign w:val="center"/>
          </w:tcPr>
          <w:p>
            <w:pPr>
              <w:pStyle w:val="2"/>
              <w:snapToGrid w:val="0"/>
              <w:ind w:firstLine="0"/>
              <w:jc w:val="left"/>
              <w:rPr>
                <w:rFonts w:hint="eastAsia" w:ascii="宋体" w:hAnsi="宋体" w:cs="宋体"/>
                <w:szCs w:val="21"/>
              </w:rPr>
            </w:pPr>
            <w:r>
              <w:rPr>
                <w:rFonts w:hint="eastAsia" w:ascii="宋体" w:hAnsi="宋体" w:cs="宋体"/>
                <w:color w:val="auto"/>
                <w:szCs w:val="21"/>
              </w:rPr>
              <w:t>《法律文书写作》参与式教学改革与实践</w:t>
            </w:r>
          </w:p>
        </w:tc>
        <w:tc>
          <w:tcPr>
            <w:tcW w:w="1036" w:type="dxa"/>
            <w:noWrap w:val="0"/>
            <w:vAlign w:val="center"/>
          </w:tcPr>
          <w:p>
            <w:pPr>
              <w:pStyle w:val="2"/>
              <w:snapToGrid w:val="0"/>
              <w:ind w:firstLine="0"/>
              <w:jc w:val="center"/>
              <w:rPr>
                <w:rFonts w:hint="eastAsia" w:ascii="宋体" w:hAnsi="宋体" w:cs="宋体"/>
                <w:szCs w:val="21"/>
              </w:rPr>
            </w:pPr>
            <w:r>
              <w:rPr>
                <w:rFonts w:hint="eastAsia" w:ascii="宋体" w:hAnsi="宋体" w:cs="宋体"/>
                <w:color w:val="auto"/>
                <w:szCs w:val="21"/>
              </w:rPr>
              <w:t>肖文涛</w:t>
            </w:r>
          </w:p>
        </w:tc>
        <w:tc>
          <w:tcPr>
            <w:tcW w:w="1234" w:type="dxa"/>
            <w:noWrap w:val="0"/>
            <w:vAlign w:val="center"/>
          </w:tcPr>
          <w:p>
            <w:pPr>
              <w:snapToGrid w:val="0"/>
              <w:jc w:val="center"/>
              <w:rPr>
                <w:rFonts w:hint="eastAsia" w:ascii="宋体" w:hAnsi="宋体" w:cs="宋体"/>
                <w:szCs w:val="21"/>
              </w:rPr>
            </w:pPr>
            <w:r>
              <w:rPr>
                <w:rFonts w:hint="eastAsia" w:ascii="宋体" w:hAnsi="宋体" w:cs="宋体"/>
                <w:szCs w:val="21"/>
              </w:rPr>
              <w:t>延期结题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78" w:hRule="atLeast"/>
          <w:jc w:val="center"/>
        </w:trPr>
        <w:tc>
          <w:tcPr>
            <w:tcW w:w="641" w:type="dxa"/>
            <w:noWrap w:val="0"/>
            <w:vAlign w:val="center"/>
          </w:tcPr>
          <w:p>
            <w:pPr>
              <w:pStyle w:val="2"/>
              <w:snapToGrid w:val="0"/>
              <w:ind w:firstLine="0"/>
              <w:jc w:val="center"/>
              <w:rPr>
                <w:rFonts w:hint="eastAsia" w:ascii="宋体" w:hAnsi="宋体" w:cs="宋体"/>
                <w:color w:val="auto"/>
                <w:szCs w:val="21"/>
              </w:rPr>
            </w:pPr>
            <w:r>
              <w:rPr>
                <w:rFonts w:hint="eastAsia" w:ascii="宋体" w:hAnsi="宋体" w:cs="宋体"/>
                <w:color w:val="auto"/>
                <w:szCs w:val="21"/>
              </w:rPr>
              <w:t>5</w:t>
            </w:r>
          </w:p>
        </w:tc>
        <w:tc>
          <w:tcPr>
            <w:tcW w:w="1063" w:type="dxa"/>
            <w:noWrap w:val="0"/>
            <w:vAlign w:val="center"/>
          </w:tcPr>
          <w:p>
            <w:pPr>
              <w:pStyle w:val="2"/>
              <w:snapToGrid w:val="0"/>
              <w:ind w:firstLine="0"/>
              <w:jc w:val="center"/>
              <w:rPr>
                <w:rFonts w:hint="eastAsia" w:ascii="宋体" w:hAnsi="宋体" w:cs="宋体"/>
                <w:color w:val="auto"/>
                <w:szCs w:val="21"/>
              </w:rPr>
            </w:pPr>
            <w:r>
              <w:rPr>
                <w:rFonts w:hint="eastAsia" w:ascii="宋体" w:hAnsi="宋体" w:cs="宋体"/>
                <w:color w:val="auto"/>
                <w:szCs w:val="21"/>
              </w:rPr>
              <w:t>2016</w:t>
            </w:r>
          </w:p>
        </w:tc>
        <w:tc>
          <w:tcPr>
            <w:tcW w:w="5058" w:type="dxa"/>
            <w:noWrap w:val="0"/>
            <w:vAlign w:val="center"/>
          </w:tcPr>
          <w:p>
            <w:pPr>
              <w:pStyle w:val="2"/>
              <w:snapToGrid w:val="0"/>
              <w:ind w:firstLine="0"/>
              <w:jc w:val="left"/>
              <w:rPr>
                <w:rFonts w:hint="eastAsia" w:ascii="宋体" w:hAnsi="宋体" w:cs="宋体"/>
                <w:szCs w:val="21"/>
              </w:rPr>
            </w:pPr>
            <w:r>
              <w:rPr>
                <w:rFonts w:hint="eastAsia" w:ascii="宋体" w:hAnsi="宋体" w:cs="宋体"/>
                <w:color w:val="auto"/>
                <w:szCs w:val="21"/>
              </w:rPr>
              <w:t>研讨式实训教学在环境法教学中的运用</w:t>
            </w:r>
          </w:p>
        </w:tc>
        <w:tc>
          <w:tcPr>
            <w:tcW w:w="1036" w:type="dxa"/>
            <w:noWrap w:val="0"/>
            <w:vAlign w:val="center"/>
          </w:tcPr>
          <w:p>
            <w:pPr>
              <w:pStyle w:val="2"/>
              <w:snapToGrid w:val="0"/>
              <w:ind w:firstLine="0"/>
              <w:jc w:val="center"/>
              <w:rPr>
                <w:rFonts w:hint="eastAsia" w:ascii="宋体" w:hAnsi="宋体" w:cs="宋体"/>
                <w:szCs w:val="21"/>
              </w:rPr>
            </w:pPr>
            <w:r>
              <w:rPr>
                <w:rFonts w:hint="eastAsia" w:ascii="宋体" w:hAnsi="宋体" w:cs="宋体"/>
                <w:color w:val="auto"/>
                <w:szCs w:val="21"/>
              </w:rPr>
              <w:t>袁红萍</w:t>
            </w:r>
          </w:p>
        </w:tc>
        <w:tc>
          <w:tcPr>
            <w:tcW w:w="1234" w:type="dxa"/>
            <w:noWrap w:val="0"/>
            <w:vAlign w:val="center"/>
          </w:tcPr>
          <w:p>
            <w:pPr>
              <w:snapToGrid w:val="0"/>
              <w:jc w:val="center"/>
              <w:rPr>
                <w:rFonts w:hint="eastAsia" w:ascii="宋体" w:hAnsi="宋体" w:cs="宋体"/>
                <w:szCs w:val="21"/>
              </w:rPr>
            </w:pPr>
            <w:r>
              <w:rPr>
                <w:rFonts w:hint="eastAsia" w:ascii="宋体" w:hAnsi="宋体" w:cs="宋体"/>
                <w:szCs w:val="21"/>
              </w:rPr>
              <w:t>延期结题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78" w:hRule="atLeast"/>
          <w:jc w:val="center"/>
        </w:trPr>
        <w:tc>
          <w:tcPr>
            <w:tcW w:w="641" w:type="dxa"/>
            <w:noWrap w:val="0"/>
            <w:vAlign w:val="center"/>
          </w:tcPr>
          <w:p>
            <w:pPr>
              <w:pStyle w:val="2"/>
              <w:snapToGrid w:val="0"/>
              <w:ind w:firstLine="0"/>
              <w:jc w:val="center"/>
              <w:rPr>
                <w:rFonts w:hint="eastAsia" w:ascii="宋体" w:hAnsi="宋体" w:cs="宋体"/>
                <w:color w:val="auto"/>
                <w:szCs w:val="21"/>
              </w:rPr>
            </w:pPr>
            <w:r>
              <w:rPr>
                <w:rFonts w:hint="eastAsia" w:ascii="宋体" w:hAnsi="宋体" w:cs="宋体"/>
                <w:color w:val="auto"/>
                <w:szCs w:val="21"/>
              </w:rPr>
              <w:t>6</w:t>
            </w:r>
          </w:p>
        </w:tc>
        <w:tc>
          <w:tcPr>
            <w:tcW w:w="1063" w:type="dxa"/>
            <w:noWrap w:val="0"/>
            <w:vAlign w:val="center"/>
          </w:tcPr>
          <w:p>
            <w:pPr>
              <w:pStyle w:val="2"/>
              <w:snapToGrid w:val="0"/>
              <w:ind w:firstLine="0"/>
              <w:jc w:val="center"/>
              <w:rPr>
                <w:rFonts w:hint="eastAsia" w:ascii="宋体" w:hAnsi="宋体" w:cs="宋体"/>
                <w:color w:val="auto"/>
                <w:szCs w:val="21"/>
              </w:rPr>
            </w:pPr>
            <w:r>
              <w:rPr>
                <w:rFonts w:hint="eastAsia" w:ascii="宋体" w:hAnsi="宋体" w:cs="宋体"/>
                <w:color w:val="auto"/>
                <w:szCs w:val="21"/>
              </w:rPr>
              <w:t>2016</w:t>
            </w:r>
          </w:p>
        </w:tc>
        <w:tc>
          <w:tcPr>
            <w:tcW w:w="5058" w:type="dxa"/>
            <w:noWrap w:val="0"/>
            <w:vAlign w:val="center"/>
          </w:tcPr>
          <w:p>
            <w:pPr>
              <w:jc w:val="left"/>
              <w:rPr>
                <w:rFonts w:hint="eastAsia" w:ascii="宋体" w:hAnsi="宋体" w:cs="宋体"/>
                <w:szCs w:val="21"/>
              </w:rPr>
            </w:pPr>
            <w:r>
              <w:rPr>
                <w:rFonts w:hint="eastAsia" w:ascii="宋体" w:hAnsi="宋体" w:cs="宋体"/>
                <w:bCs/>
                <w:szCs w:val="21"/>
              </w:rPr>
              <w:t>军事理论课程实行体验式教学的改革与实践</w:t>
            </w:r>
          </w:p>
        </w:tc>
        <w:tc>
          <w:tcPr>
            <w:tcW w:w="1036" w:type="dxa"/>
            <w:noWrap w:val="0"/>
            <w:vAlign w:val="center"/>
          </w:tcPr>
          <w:p>
            <w:pPr>
              <w:pStyle w:val="2"/>
              <w:snapToGrid w:val="0"/>
              <w:ind w:firstLine="0"/>
              <w:jc w:val="center"/>
              <w:rPr>
                <w:rFonts w:hint="eastAsia" w:ascii="宋体" w:hAnsi="宋体" w:cs="宋体"/>
                <w:szCs w:val="21"/>
              </w:rPr>
            </w:pPr>
            <w:r>
              <w:rPr>
                <w:rFonts w:hint="eastAsia" w:ascii="宋体" w:hAnsi="宋体" w:cs="宋体"/>
                <w:szCs w:val="21"/>
              </w:rPr>
              <w:t>胡勇胜</w:t>
            </w:r>
          </w:p>
        </w:tc>
        <w:tc>
          <w:tcPr>
            <w:tcW w:w="1234" w:type="dxa"/>
            <w:noWrap w:val="0"/>
            <w:vAlign w:val="center"/>
          </w:tcPr>
          <w:p>
            <w:pPr>
              <w:snapToGrid w:val="0"/>
              <w:jc w:val="center"/>
              <w:rPr>
                <w:rFonts w:hint="eastAsia" w:ascii="宋体" w:hAnsi="宋体" w:cs="宋体"/>
                <w:szCs w:val="21"/>
              </w:rPr>
            </w:pPr>
            <w:r>
              <w:rPr>
                <w:rFonts w:hint="eastAsia" w:ascii="宋体" w:hAnsi="宋体" w:cs="宋体"/>
                <w:szCs w:val="21"/>
              </w:rPr>
              <w:t>延期结题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37" w:hRule="atLeast"/>
          <w:jc w:val="center"/>
        </w:trPr>
        <w:tc>
          <w:tcPr>
            <w:tcW w:w="641" w:type="dxa"/>
            <w:noWrap w:val="0"/>
            <w:vAlign w:val="center"/>
          </w:tcPr>
          <w:p>
            <w:pPr>
              <w:pStyle w:val="2"/>
              <w:snapToGrid w:val="0"/>
              <w:ind w:firstLine="0"/>
              <w:jc w:val="center"/>
              <w:rPr>
                <w:rFonts w:hint="eastAsia" w:ascii="宋体" w:hAnsi="宋体" w:cs="宋体"/>
                <w:color w:val="auto"/>
                <w:szCs w:val="21"/>
              </w:rPr>
            </w:pPr>
            <w:r>
              <w:rPr>
                <w:rFonts w:hint="eastAsia" w:ascii="宋体" w:hAnsi="宋体" w:cs="宋体"/>
                <w:color w:val="auto"/>
                <w:szCs w:val="21"/>
              </w:rPr>
              <w:t>7</w:t>
            </w:r>
          </w:p>
        </w:tc>
        <w:tc>
          <w:tcPr>
            <w:tcW w:w="1063" w:type="dxa"/>
            <w:noWrap w:val="0"/>
            <w:vAlign w:val="center"/>
          </w:tcPr>
          <w:p>
            <w:pPr>
              <w:pStyle w:val="2"/>
              <w:snapToGrid w:val="0"/>
              <w:ind w:firstLine="0"/>
              <w:jc w:val="center"/>
              <w:rPr>
                <w:rFonts w:hint="eastAsia" w:ascii="宋体" w:hAnsi="宋体" w:cs="宋体"/>
                <w:szCs w:val="21"/>
              </w:rPr>
            </w:pPr>
            <w:r>
              <w:rPr>
                <w:rFonts w:hint="eastAsia" w:ascii="宋体" w:hAnsi="宋体" w:cs="宋体"/>
                <w:color w:val="auto"/>
                <w:szCs w:val="21"/>
              </w:rPr>
              <w:t>2016</w:t>
            </w:r>
          </w:p>
        </w:tc>
        <w:tc>
          <w:tcPr>
            <w:tcW w:w="5058" w:type="dxa"/>
            <w:noWrap w:val="0"/>
            <w:vAlign w:val="center"/>
          </w:tcPr>
          <w:p>
            <w:pPr>
              <w:pStyle w:val="2"/>
              <w:snapToGrid w:val="0"/>
              <w:ind w:firstLine="0"/>
              <w:jc w:val="left"/>
              <w:rPr>
                <w:rFonts w:hint="eastAsia" w:ascii="宋体" w:hAnsi="宋体" w:cs="宋体"/>
                <w:szCs w:val="21"/>
              </w:rPr>
            </w:pPr>
            <w:r>
              <w:rPr>
                <w:rFonts w:hint="eastAsia" w:ascii="宋体" w:hAnsi="宋体" w:cs="宋体"/>
                <w:szCs w:val="21"/>
              </w:rPr>
              <w:t>在高校质量保障体系建设背景下对《中国近现代史纲要》课程课内实践模式的探索</w:t>
            </w:r>
          </w:p>
        </w:tc>
        <w:tc>
          <w:tcPr>
            <w:tcW w:w="1036" w:type="dxa"/>
            <w:noWrap w:val="0"/>
            <w:vAlign w:val="center"/>
          </w:tcPr>
          <w:p>
            <w:pPr>
              <w:pStyle w:val="2"/>
              <w:snapToGrid w:val="0"/>
              <w:ind w:firstLine="0"/>
              <w:jc w:val="center"/>
              <w:rPr>
                <w:rFonts w:hint="eastAsia" w:ascii="宋体" w:hAnsi="宋体" w:cs="宋体"/>
                <w:szCs w:val="21"/>
              </w:rPr>
            </w:pPr>
            <w:r>
              <w:rPr>
                <w:rFonts w:hint="eastAsia" w:ascii="宋体" w:hAnsi="宋体" w:cs="宋体"/>
                <w:color w:val="auto"/>
                <w:szCs w:val="21"/>
              </w:rPr>
              <w:t>邓怡舟</w:t>
            </w:r>
          </w:p>
        </w:tc>
        <w:tc>
          <w:tcPr>
            <w:tcW w:w="1234" w:type="dxa"/>
            <w:noWrap w:val="0"/>
            <w:vAlign w:val="center"/>
          </w:tcPr>
          <w:p>
            <w:pPr>
              <w:snapToGrid w:val="0"/>
              <w:jc w:val="center"/>
              <w:rPr>
                <w:rFonts w:hint="eastAsia" w:ascii="宋体" w:hAnsi="宋体" w:cs="宋体"/>
                <w:szCs w:val="21"/>
              </w:rPr>
            </w:pPr>
            <w:r>
              <w:rPr>
                <w:rFonts w:hint="eastAsia" w:ascii="宋体" w:hAnsi="宋体" w:cs="宋体"/>
                <w:szCs w:val="21"/>
              </w:rPr>
              <w:t>延期结题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37" w:hRule="atLeast"/>
          <w:jc w:val="center"/>
        </w:trPr>
        <w:tc>
          <w:tcPr>
            <w:tcW w:w="641" w:type="dxa"/>
            <w:noWrap w:val="0"/>
            <w:vAlign w:val="center"/>
          </w:tcPr>
          <w:p>
            <w:pPr>
              <w:pStyle w:val="2"/>
              <w:snapToGrid w:val="0"/>
              <w:ind w:firstLine="0"/>
              <w:jc w:val="center"/>
              <w:rPr>
                <w:rFonts w:hint="eastAsia" w:ascii="宋体" w:hAnsi="宋体" w:cs="宋体"/>
                <w:color w:val="auto"/>
                <w:szCs w:val="21"/>
              </w:rPr>
            </w:pPr>
            <w:r>
              <w:rPr>
                <w:rFonts w:hint="eastAsia" w:ascii="宋体" w:hAnsi="宋体" w:cs="宋体"/>
                <w:color w:val="auto"/>
                <w:szCs w:val="21"/>
              </w:rPr>
              <w:t>8</w:t>
            </w:r>
          </w:p>
        </w:tc>
        <w:tc>
          <w:tcPr>
            <w:tcW w:w="1063" w:type="dxa"/>
            <w:noWrap w:val="0"/>
            <w:vAlign w:val="center"/>
          </w:tcPr>
          <w:p>
            <w:pPr>
              <w:pStyle w:val="2"/>
              <w:snapToGrid w:val="0"/>
              <w:ind w:firstLine="0"/>
              <w:jc w:val="center"/>
              <w:rPr>
                <w:rFonts w:hint="eastAsia" w:ascii="宋体" w:hAnsi="宋体" w:cs="宋体"/>
                <w:szCs w:val="21"/>
              </w:rPr>
            </w:pPr>
            <w:r>
              <w:rPr>
                <w:rFonts w:hint="eastAsia" w:ascii="宋体" w:hAnsi="宋体" w:cs="宋体"/>
                <w:color w:val="auto"/>
                <w:szCs w:val="21"/>
              </w:rPr>
              <w:t>2016</w:t>
            </w:r>
          </w:p>
        </w:tc>
        <w:tc>
          <w:tcPr>
            <w:tcW w:w="5058" w:type="dxa"/>
            <w:noWrap w:val="0"/>
            <w:vAlign w:val="center"/>
          </w:tcPr>
          <w:p>
            <w:pPr>
              <w:pStyle w:val="2"/>
              <w:snapToGrid w:val="0"/>
              <w:ind w:firstLine="0"/>
              <w:jc w:val="left"/>
              <w:rPr>
                <w:rFonts w:hint="eastAsia" w:ascii="宋体" w:hAnsi="宋体" w:cs="宋体"/>
                <w:szCs w:val="21"/>
              </w:rPr>
            </w:pPr>
            <w:r>
              <w:rPr>
                <w:rFonts w:hint="eastAsia" w:ascii="宋体" w:hAnsi="宋体" w:cs="宋体"/>
                <w:color w:val="auto"/>
                <w:kern w:val="0"/>
                <w:szCs w:val="21"/>
              </w:rPr>
              <w:t>语言输入和输出假设下地方二本大学英语听说教学改革研究</w:t>
            </w:r>
          </w:p>
        </w:tc>
        <w:tc>
          <w:tcPr>
            <w:tcW w:w="1036" w:type="dxa"/>
            <w:noWrap w:val="0"/>
            <w:vAlign w:val="center"/>
          </w:tcPr>
          <w:p>
            <w:pPr>
              <w:pStyle w:val="2"/>
              <w:snapToGrid w:val="0"/>
              <w:ind w:firstLine="0"/>
              <w:jc w:val="center"/>
              <w:rPr>
                <w:rFonts w:hint="eastAsia" w:ascii="宋体" w:hAnsi="宋体" w:cs="宋体"/>
                <w:szCs w:val="21"/>
              </w:rPr>
            </w:pPr>
            <w:r>
              <w:rPr>
                <w:rFonts w:hint="eastAsia" w:ascii="宋体" w:hAnsi="宋体" w:cs="宋体"/>
                <w:color w:val="auto"/>
                <w:szCs w:val="21"/>
              </w:rPr>
              <w:t>江宝庭</w:t>
            </w:r>
          </w:p>
        </w:tc>
        <w:tc>
          <w:tcPr>
            <w:tcW w:w="1234" w:type="dxa"/>
            <w:noWrap w:val="0"/>
            <w:vAlign w:val="center"/>
          </w:tcPr>
          <w:p>
            <w:pPr>
              <w:snapToGrid w:val="0"/>
              <w:jc w:val="center"/>
              <w:rPr>
                <w:rFonts w:hint="eastAsia" w:ascii="宋体" w:hAnsi="宋体" w:cs="宋体"/>
                <w:szCs w:val="21"/>
              </w:rPr>
            </w:pPr>
            <w:r>
              <w:rPr>
                <w:rFonts w:hint="eastAsia" w:ascii="宋体" w:hAnsi="宋体" w:cs="宋体"/>
                <w:szCs w:val="21"/>
              </w:rPr>
              <w:t>延期结题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37" w:hRule="atLeast"/>
          <w:jc w:val="center"/>
        </w:trPr>
        <w:tc>
          <w:tcPr>
            <w:tcW w:w="641" w:type="dxa"/>
            <w:noWrap w:val="0"/>
            <w:vAlign w:val="center"/>
          </w:tcPr>
          <w:p>
            <w:pPr>
              <w:pStyle w:val="2"/>
              <w:snapToGrid w:val="0"/>
              <w:ind w:firstLine="0"/>
              <w:jc w:val="center"/>
              <w:rPr>
                <w:rFonts w:hint="eastAsia" w:ascii="宋体" w:hAnsi="宋体" w:cs="宋体"/>
                <w:color w:val="auto"/>
                <w:szCs w:val="21"/>
              </w:rPr>
            </w:pPr>
            <w:r>
              <w:rPr>
                <w:rFonts w:hint="eastAsia" w:ascii="宋体" w:hAnsi="宋体" w:cs="宋体"/>
                <w:color w:val="auto"/>
                <w:szCs w:val="21"/>
              </w:rPr>
              <w:t>9</w:t>
            </w:r>
          </w:p>
        </w:tc>
        <w:tc>
          <w:tcPr>
            <w:tcW w:w="1063" w:type="dxa"/>
            <w:noWrap w:val="0"/>
            <w:vAlign w:val="center"/>
          </w:tcPr>
          <w:p>
            <w:pPr>
              <w:pStyle w:val="2"/>
              <w:snapToGrid w:val="0"/>
              <w:ind w:firstLine="0"/>
              <w:jc w:val="center"/>
              <w:rPr>
                <w:rFonts w:hint="eastAsia" w:ascii="宋体" w:hAnsi="宋体" w:cs="宋体"/>
                <w:szCs w:val="21"/>
              </w:rPr>
            </w:pPr>
            <w:r>
              <w:rPr>
                <w:rFonts w:hint="eastAsia" w:ascii="宋体" w:hAnsi="宋体" w:cs="宋体"/>
                <w:color w:val="auto"/>
                <w:szCs w:val="21"/>
              </w:rPr>
              <w:t>2016</w:t>
            </w:r>
          </w:p>
        </w:tc>
        <w:tc>
          <w:tcPr>
            <w:tcW w:w="5058" w:type="dxa"/>
            <w:noWrap w:val="0"/>
            <w:vAlign w:val="center"/>
          </w:tcPr>
          <w:p>
            <w:pPr>
              <w:pStyle w:val="2"/>
              <w:snapToGrid w:val="0"/>
              <w:ind w:firstLine="0"/>
              <w:jc w:val="left"/>
              <w:rPr>
                <w:rFonts w:hint="eastAsia" w:ascii="宋体" w:hAnsi="宋体" w:cs="宋体"/>
                <w:szCs w:val="21"/>
              </w:rPr>
            </w:pPr>
            <w:r>
              <w:rPr>
                <w:rFonts w:hint="eastAsia" w:ascii="宋体" w:hAnsi="宋体" w:cs="宋体"/>
                <w:color w:val="auto"/>
                <w:kern w:val="0"/>
                <w:szCs w:val="21"/>
              </w:rPr>
              <w:t>地方性本科院校《高等数学》教学方法改革研究与实践</w:t>
            </w:r>
          </w:p>
        </w:tc>
        <w:tc>
          <w:tcPr>
            <w:tcW w:w="1036" w:type="dxa"/>
            <w:noWrap w:val="0"/>
            <w:vAlign w:val="center"/>
          </w:tcPr>
          <w:p>
            <w:pPr>
              <w:pStyle w:val="2"/>
              <w:snapToGrid w:val="0"/>
              <w:ind w:firstLine="0"/>
              <w:jc w:val="center"/>
              <w:rPr>
                <w:rFonts w:hint="eastAsia" w:ascii="宋体" w:hAnsi="宋体" w:cs="宋体"/>
                <w:szCs w:val="21"/>
              </w:rPr>
            </w:pPr>
            <w:r>
              <w:rPr>
                <w:rFonts w:hint="eastAsia" w:ascii="宋体" w:hAnsi="宋体" w:cs="宋体"/>
                <w:color w:val="auto"/>
                <w:szCs w:val="21"/>
              </w:rPr>
              <w:t>邓翔</w:t>
            </w:r>
          </w:p>
        </w:tc>
        <w:tc>
          <w:tcPr>
            <w:tcW w:w="1234" w:type="dxa"/>
            <w:noWrap w:val="0"/>
            <w:vAlign w:val="center"/>
          </w:tcPr>
          <w:p>
            <w:pPr>
              <w:snapToGrid w:val="0"/>
              <w:jc w:val="center"/>
              <w:rPr>
                <w:rFonts w:hint="eastAsia" w:ascii="宋体" w:hAnsi="宋体" w:cs="宋体"/>
                <w:szCs w:val="21"/>
              </w:rPr>
            </w:pPr>
            <w:r>
              <w:rPr>
                <w:rFonts w:hint="eastAsia" w:ascii="宋体" w:hAnsi="宋体" w:cs="宋体"/>
                <w:szCs w:val="21"/>
              </w:rPr>
              <w:t>延期结题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37" w:hRule="atLeast"/>
          <w:jc w:val="center"/>
        </w:trPr>
        <w:tc>
          <w:tcPr>
            <w:tcW w:w="641" w:type="dxa"/>
            <w:noWrap w:val="0"/>
            <w:vAlign w:val="center"/>
          </w:tcPr>
          <w:p>
            <w:pPr>
              <w:pStyle w:val="2"/>
              <w:snapToGrid w:val="0"/>
              <w:ind w:firstLine="0"/>
              <w:jc w:val="center"/>
              <w:rPr>
                <w:rFonts w:hint="eastAsia" w:ascii="宋体" w:hAnsi="宋体" w:cs="宋体"/>
                <w:color w:val="auto"/>
                <w:szCs w:val="21"/>
              </w:rPr>
            </w:pPr>
            <w:r>
              <w:rPr>
                <w:rFonts w:hint="eastAsia" w:ascii="宋体" w:hAnsi="宋体" w:cs="宋体"/>
                <w:color w:val="auto"/>
                <w:szCs w:val="21"/>
              </w:rPr>
              <w:t>10</w:t>
            </w:r>
          </w:p>
        </w:tc>
        <w:tc>
          <w:tcPr>
            <w:tcW w:w="1063" w:type="dxa"/>
            <w:noWrap w:val="0"/>
            <w:vAlign w:val="center"/>
          </w:tcPr>
          <w:p>
            <w:pPr>
              <w:pStyle w:val="2"/>
              <w:snapToGrid w:val="0"/>
              <w:ind w:firstLine="0"/>
              <w:jc w:val="center"/>
              <w:rPr>
                <w:rFonts w:hint="eastAsia" w:ascii="宋体" w:hAnsi="宋体" w:cs="宋体"/>
                <w:szCs w:val="21"/>
              </w:rPr>
            </w:pPr>
            <w:r>
              <w:rPr>
                <w:rFonts w:hint="eastAsia" w:ascii="宋体" w:hAnsi="宋体" w:cs="宋体"/>
                <w:color w:val="auto"/>
                <w:szCs w:val="21"/>
              </w:rPr>
              <w:t>2016</w:t>
            </w:r>
          </w:p>
        </w:tc>
        <w:tc>
          <w:tcPr>
            <w:tcW w:w="5058" w:type="dxa"/>
            <w:noWrap w:val="0"/>
            <w:vAlign w:val="center"/>
          </w:tcPr>
          <w:p>
            <w:pPr>
              <w:spacing w:line="283" w:lineRule="exact"/>
              <w:jc w:val="left"/>
              <w:rPr>
                <w:rFonts w:hint="eastAsia" w:ascii="宋体" w:hAnsi="宋体" w:cs="宋体"/>
                <w:szCs w:val="21"/>
              </w:rPr>
            </w:pPr>
            <w:r>
              <w:rPr>
                <w:rFonts w:hint="eastAsia" w:ascii="宋体" w:hAnsi="宋体" w:cs="宋体"/>
                <w:szCs w:val="21"/>
              </w:rPr>
              <w:t>基于应用能力培养的《旅游心理学》教学内容</w:t>
            </w:r>
          </w:p>
          <w:p>
            <w:pPr>
              <w:pStyle w:val="2"/>
              <w:snapToGrid w:val="0"/>
              <w:ind w:firstLine="0"/>
              <w:jc w:val="left"/>
              <w:rPr>
                <w:rFonts w:hint="eastAsia" w:ascii="宋体" w:hAnsi="宋体" w:cs="宋体"/>
                <w:szCs w:val="21"/>
              </w:rPr>
            </w:pPr>
            <w:r>
              <w:rPr>
                <w:rFonts w:hint="eastAsia" w:ascii="宋体" w:hAnsi="宋体" w:cs="宋体"/>
                <w:szCs w:val="21"/>
              </w:rPr>
              <w:t>与教学方法改革研究</w:t>
            </w:r>
          </w:p>
        </w:tc>
        <w:tc>
          <w:tcPr>
            <w:tcW w:w="1036" w:type="dxa"/>
            <w:noWrap w:val="0"/>
            <w:vAlign w:val="center"/>
          </w:tcPr>
          <w:p>
            <w:pPr>
              <w:pStyle w:val="2"/>
              <w:snapToGrid w:val="0"/>
              <w:ind w:firstLine="0"/>
              <w:jc w:val="center"/>
              <w:rPr>
                <w:rFonts w:hint="eastAsia" w:ascii="宋体" w:hAnsi="宋体" w:cs="宋体"/>
                <w:szCs w:val="21"/>
              </w:rPr>
            </w:pPr>
            <w:r>
              <w:rPr>
                <w:rFonts w:hint="eastAsia" w:ascii="宋体" w:hAnsi="宋体" w:cs="宋体"/>
                <w:szCs w:val="21"/>
              </w:rPr>
              <w:t>吴翠燕</w:t>
            </w:r>
          </w:p>
        </w:tc>
        <w:tc>
          <w:tcPr>
            <w:tcW w:w="1234" w:type="dxa"/>
            <w:noWrap w:val="0"/>
            <w:vAlign w:val="center"/>
          </w:tcPr>
          <w:p>
            <w:pPr>
              <w:snapToGrid w:val="0"/>
              <w:jc w:val="center"/>
              <w:rPr>
                <w:rFonts w:hint="eastAsia" w:ascii="宋体" w:hAnsi="宋体" w:cs="宋体"/>
                <w:szCs w:val="21"/>
              </w:rPr>
            </w:pPr>
            <w:r>
              <w:rPr>
                <w:rFonts w:hint="eastAsia" w:ascii="宋体" w:hAnsi="宋体" w:cs="宋体"/>
                <w:szCs w:val="21"/>
              </w:rPr>
              <w:t>延期结题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37" w:hRule="atLeast"/>
          <w:jc w:val="center"/>
        </w:trPr>
        <w:tc>
          <w:tcPr>
            <w:tcW w:w="641" w:type="dxa"/>
            <w:noWrap w:val="0"/>
            <w:vAlign w:val="center"/>
          </w:tcPr>
          <w:p>
            <w:pPr>
              <w:pStyle w:val="2"/>
              <w:snapToGrid w:val="0"/>
              <w:ind w:firstLine="0"/>
              <w:jc w:val="center"/>
              <w:rPr>
                <w:rFonts w:hint="eastAsia" w:ascii="宋体" w:hAnsi="宋体" w:cs="宋体"/>
                <w:color w:val="auto"/>
                <w:szCs w:val="21"/>
              </w:rPr>
            </w:pPr>
            <w:r>
              <w:rPr>
                <w:rFonts w:hint="eastAsia" w:ascii="宋体" w:hAnsi="宋体" w:cs="宋体"/>
                <w:color w:val="auto"/>
                <w:szCs w:val="21"/>
              </w:rPr>
              <w:t>11</w:t>
            </w:r>
          </w:p>
        </w:tc>
        <w:tc>
          <w:tcPr>
            <w:tcW w:w="1063" w:type="dxa"/>
            <w:noWrap w:val="0"/>
            <w:vAlign w:val="center"/>
          </w:tcPr>
          <w:p>
            <w:pPr>
              <w:pStyle w:val="2"/>
              <w:snapToGrid w:val="0"/>
              <w:ind w:firstLine="0"/>
              <w:jc w:val="center"/>
              <w:rPr>
                <w:rFonts w:hint="eastAsia" w:ascii="宋体" w:hAnsi="宋体" w:cs="宋体"/>
                <w:szCs w:val="21"/>
              </w:rPr>
            </w:pPr>
            <w:r>
              <w:rPr>
                <w:rFonts w:hint="eastAsia" w:ascii="宋体" w:hAnsi="宋体" w:cs="宋体"/>
                <w:color w:val="auto"/>
                <w:szCs w:val="21"/>
              </w:rPr>
              <w:t>2016</w:t>
            </w:r>
          </w:p>
        </w:tc>
        <w:tc>
          <w:tcPr>
            <w:tcW w:w="5058" w:type="dxa"/>
            <w:noWrap w:val="0"/>
            <w:vAlign w:val="center"/>
          </w:tcPr>
          <w:p>
            <w:pPr>
              <w:pStyle w:val="2"/>
              <w:snapToGrid w:val="0"/>
              <w:ind w:firstLine="0"/>
              <w:jc w:val="left"/>
              <w:rPr>
                <w:rFonts w:hint="eastAsia" w:ascii="宋体" w:hAnsi="宋体" w:cs="宋体"/>
                <w:color w:val="auto"/>
                <w:szCs w:val="21"/>
              </w:rPr>
            </w:pPr>
            <w:r>
              <w:rPr>
                <w:rFonts w:hint="eastAsia" w:ascii="宋体" w:hAnsi="宋体" w:cs="宋体"/>
                <w:szCs w:val="21"/>
              </w:rPr>
              <w:t>转型背景下地方高校复合型钢琴专业人才培养模式研究</w:t>
            </w:r>
          </w:p>
        </w:tc>
        <w:tc>
          <w:tcPr>
            <w:tcW w:w="1036" w:type="dxa"/>
            <w:noWrap w:val="0"/>
            <w:vAlign w:val="center"/>
          </w:tcPr>
          <w:p>
            <w:pPr>
              <w:pStyle w:val="2"/>
              <w:snapToGrid w:val="0"/>
              <w:ind w:firstLine="0"/>
              <w:jc w:val="center"/>
              <w:rPr>
                <w:rFonts w:hint="eastAsia" w:ascii="宋体" w:hAnsi="宋体" w:cs="宋体"/>
                <w:color w:val="auto"/>
                <w:szCs w:val="21"/>
              </w:rPr>
            </w:pPr>
            <w:r>
              <w:rPr>
                <w:rFonts w:hint="eastAsia" w:ascii="宋体" w:hAnsi="宋体" w:cs="宋体"/>
                <w:szCs w:val="21"/>
              </w:rPr>
              <w:t>胡琼方</w:t>
            </w:r>
          </w:p>
        </w:tc>
        <w:tc>
          <w:tcPr>
            <w:tcW w:w="1234" w:type="dxa"/>
            <w:noWrap w:val="0"/>
            <w:vAlign w:val="center"/>
          </w:tcPr>
          <w:p>
            <w:pPr>
              <w:snapToGrid w:val="0"/>
              <w:jc w:val="center"/>
              <w:rPr>
                <w:rFonts w:hint="eastAsia" w:ascii="宋体" w:hAnsi="宋体" w:cs="宋体"/>
                <w:szCs w:val="21"/>
              </w:rPr>
            </w:pPr>
            <w:r>
              <w:rPr>
                <w:rFonts w:hint="eastAsia" w:ascii="宋体" w:hAnsi="宋体" w:cs="宋体"/>
                <w:szCs w:val="21"/>
              </w:rPr>
              <w:t>延期结题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37" w:hRule="atLeast"/>
          <w:jc w:val="center"/>
        </w:trPr>
        <w:tc>
          <w:tcPr>
            <w:tcW w:w="641" w:type="dxa"/>
            <w:noWrap w:val="0"/>
            <w:vAlign w:val="center"/>
          </w:tcPr>
          <w:p>
            <w:pPr>
              <w:pStyle w:val="2"/>
              <w:snapToGrid w:val="0"/>
              <w:ind w:firstLine="0"/>
              <w:jc w:val="center"/>
              <w:rPr>
                <w:rFonts w:hint="eastAsia" w:ascii="宋体" w:hAnsi="宋体" w:cs="宋体"/>
                <w:color w:val="auto"/>
                <w:szCs w:val="21"/>
              </w:rPr>
            </w:pPr>
            <w:r>
              <w:rPr>
                <w:rFonts w:hint="eastAsia" w:ascii="宋体" w:hAnsi="宋体" w:cs="宋体"/>
                <w:color w:val="auto"/>
                <w:szCs w:val="21"/>
              </w:rPr>
              <w:t>12</w:t>
            </w:r>
          </w:p>
        </w:tc>
        <w:tc>
          <w:tcPr>
            <w:tcW w:w="1063" w:type="dxa"/>
            <w:noWrap w:val="0"/>
            <w:vAlign w:val="center"/>
          </w:tcPr>
          <w:p>
            <w:pPr>
              <w:pStyle w:val="2"/>
              <w:snapToGrid w:val="0"/>
              <w:ind w:firstLine="0"/>
              <w:jc w:val="center"/>
              <w:rPr>
                <w:rFonts w:hint="eastAsia" w:ascii="宋体" w:hAnsi="宋体" w:cs="宋体"/>
                <w:szCs w:val="21"/>
              </w:rPr>
            </w:pPr>
            <w:r>
              <w:rPr>
                <w:rFonts w:hint="eastAsia" w:ascii="宋体" w:hAnsi="宋体" w:cs="宋体"/>
                <w:color w:val="auto"/>
                <w:szCs w:val="21"/>
              </w:rPr>
              <w:t>2016</w:t>
            </w:r>
          </w:p>
        </w:tc>
        <w:tc>
          <w:tcPr>
            <w:tcW w:w="5058" w:type="dxa"/>
            <w:noWrap w:val="0"/>
            <w:vAlign w:val="center"/>
          </w:tcPr>
          <w:p>
            <w:pPr>
              <w:widowControl/>
              <w:jc w:val="left"/>
              <w:textAlignment w:val="center"/>
              <w:rPr>
                <w:rFonts w:hint="eastAsia" w:ascii="宋体" w:hAnsi="宋体" w:cs="宋体"/>
                <w:szCs w:val="21"/>
              </w:rPr>
            </w:pPr>
            <w:r>
              <w:rPr>
                <w:rFonts w:hint="eastAsia" w:ascii="宋体" w:hAnsi="宋体" w:cs="宋体"/>
                <w:color w:val="000000"/>
                <w:kern w:val="0"/>
                <w:szCs w:val="21"/>
                <w:lang w:bidi="ar"/>
              </w:rPr>
              <w:t>新媒介时代大学公共体育课程的困境及改革研究</w:t>
            </w:r>
          </w:p>
        </w:tc>
        <w:tc>
          <w:tcPr>
            <w:tcW w:w="1036" w:type="dxa"/>
            <w:noWrap w:val="0"/>
            <w:vAlign w:val="center"/>
          </w:tcPr>
          <w:p>
            <w:pPr>
              <w:pStyle w:val="2"/>
              <w:snapToGrid w:val="0"/>
              <w:ind w:firstLine="0"/>
              <w:jc w:val="center"/>
              <w:rPr>
                <w:rFonts w:hint="eastAsia" w:ascii="宋体" w:hAnsi="宋体" w:cs="宋体"/>
                <w:color w:val="auto"/>
                <w:szCs w:val="21"/>
              </w:rPr>
            </w:pPr>
            <w:r>
              <w:rPr>
                <w:rFonts w:hint="eastAsia" w:ascii="宋体" w:hAnsi="宋体" w:cs="宋体"/>
                <w:color w:val="auto"/>
                <w:szCs w:val="21"/>
              </w:rPr>
              <w:t>谢欢</w:t>
            </w:r>
          </w:p>
        </w:tc>
        <w:tc>
          <w:tcPr>
            <w:tcW w:w="1234" w:type="dxa"/>
            <w:noWrap w:val="0"/>
            <w:vAlign w:val="center"/>
          </w:tcPr>
          <w:p>
            <w:pPr>
              <w:jc w:val="center"/>
              <w:rPr>
                <w:rFonts w:hint="eastAsia" w:ascii="宋体" w:hAnsi="宋体" w:cs="宋体"/>
                <w:szCs w:val="21"/>
              </w:rPr>
            </w:pPr>
            <w:r>
              <w:rPr>
                <w:rFonts w:hint="eastAsia" w:ascii="宋体" w:hAnsi="宋体" w:cs="宋体"/>
                <w:szCs w:val="21"/>
              </w:rPr>
              <w:t>延期结题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37" w:hRule="atLeast"/>
          <w:jc w:val="center"/>
        </w:trPr>
        <w:tc>
          <w:tcPr>
            <w:tcW w:w="641" w:type="dxa"/>
            <w:noWrap w:val="0"/>
            <w:vAlign w:val="center"/>
          </w:tcPr>
          <w:p>
            <w:pPr>
              <w:pStyle w:val="2"/>
              <w:snapToGrid w:val="0"/>
              <w:ind w:firstLine="0"/>
              <w:jc w:val="center"/>
              <w:rPr>
                <w:rFonts w:hint="eastAsia" w:ascii="宋体" w:hAnsi="宋体" w:cs="宋体"/>
                <w:color w:val="auto"/>
                <w:szCs w:val="21"/>
              </w:rPr>
            </w:pPr>
            <w:r>
              <w:rPr>
                <w:rFonts w:hint="eastAsia" w:ascii="宋体" w:hAnsi="宋体" w:cs="宋体"/>
                <w:color w:val="auto"/>
                <w:szCs w:val="21"/>
              </w:rPr>
              <w:t>13</w:t>
            </w:r>
          </w:p>
        </w:tc>
        <w:tc>
          <w:tcPr>
            <w:tcW w:w="1063" w:type="dxa"/>
            <w:noWrap w:val="0"/>
            <w:vAlign w:val="center"/>
          </w:tcPr>
          <w:p>
            <w:pPr>
              <w:pStyle w:val="2"/>
              <w:snapToGrid w:val="0"/>
              <w:ind w:firstLine="0"/>
              <w:jc w:val="center"/>
              <w:rPr>
                <w:rFonts w:hint="eastAsia" w:ascii="宋体" w:hAnsi="宋体" w:cs="宋体"/>
                <w:color w:val="auto"/>
                <w:szCs w:val="21"/>
              </w:rPr>
            </w:pPr>
            <w:r>
              <w:rPr>
                <w:rFonts w:hint="eastAsia" w:ascii="宋体" w:hAnsi="宋体" w:cs="宋体"/>
                <w:color w:val="auto"/>
                <w:szCs w:val="21"/>
              </w:rPr>
              <w:t>2016</w:t>
            </w:r>
          </w:p>
        </w:tc>
        <w:tc>
          <w:tcPr>
            <w:tcW w:w="5058" w:type="dxa"/>
            <w:noWrap w:val="0"/>
            <w:vAlign w:val="center"/>
          </w:tcPr>
          <w:p>
            <w:pPr>
              <w:widowControl/>
              <w:jc w:val="left"/>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地方本科院校数字媒体专业开放性实验教学模式与创新能力培养研究</w:t>
            </w:r>
          </w:p>
        </w:tc>
        <w:tc>
          <w:tcPr>
            <w:tcW w:w="1036" w:type="dxa"/>
            <w:noWrap w:val="0"/>
            <w:vAlign w:val="center"/>
          </w:tcPr>
          <w:p>
            <w:pPr>
              <w:pStyle w:val="2"/>
              <w:snapToGrid w:val="0"/>
              <w:ind w:firstLine="0"/>
              <w:jc w:val="center"/>
              <w:rPr>
                <w:rFonts w:hint="eastAsia" w:ascii="宋体" w:hAnsi="宋体" w:cs="宋体"/>
                <w:color w:val="auto"/>
                <w:szCs w:val="21"/>
              </w:rPr>
            </w:pPr>
            <w:r>
              <w:rPr>
                <w:rFonts w:hint="eastAsia" w:ascii="宋体" w:hAnsi="宋体" w:cs="宋体"/>
                <w:color w:val="auto"/>
                <w:szCs w:val="21"/>
              </w:rPr>
              <w:t>邓小霞</w:t>
            </w:r>
          </w:p>
        </w:tc>
        <w:tc>
          <w:tcPr>
            <w:tcW w:w="1234" w:type="dxa"/>
            <w:noWrap w:val="0"/>
            <w:vAlign w:val="center"/>
          </w:tcPr>
          <w:p>
            <w:pPr>
              <w:jc w:val="center"/>
              <w:rPr>
                <w:rFonts w:hint="eastAsia" w:ascii="宋体" w:hAnsi="宋体" w:cs="宋体"/>
                <w:szCs w:val="21"/>
              </w:rPr>
            </w:pPr>
            <w:r>
              <w:rPr>
                <w:rFonts w:hint="eastAsia" w:ascii="宋体" w:hAnsi="宋体" w:cs="宋体"/>
                <w:szCs w:val="21"/>
              </w:rPr>
              <w:t>延期结题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37" w:hRule="atLeast"/>
          <w:jc w:val="center"/>
        </w:trPr>
        <w:tc>
          <w:tcPr>
            <w:tcW w:w="641" w:type="dxa"/>
            <w:noWrap w:val="0"/>
            <w:vAlign w:val="center"/>
          </w:tcPr>
          <w:p>
            <w:pPr>
              <w:pStyle w:val="2"/>
              <w:snapToGrid w:val="0"/>
              <w:ind w:firstLine="0"/>
              <w:jc w:val="center"/>
              <w:rPr>
                <w:rFonts w:hint="eastAsia" w:ascii="宋体" w:hAnsi="宋体" w:cs="宋体"/>
                <w:color w:val="auto"/>
                <w:szCs w:val="21"/>
              </w:rPr>
            </w:pPr>
            <w:r>
              <w:rPr>
                <w:rFonts w:hint="eastAsia" w:ascii="宋体" w:hAnsi="宋体" w:cs="宋体"/>
                <w:color w:val="auto"/>
                <w:szCs w:val="21"/>
              </w:rPr>
              <w:t>14</w:t>
            </w:r>
          </w:p>
        </w:tc>
        <w:tc>
          <w:tcPr>
            <w:tcW w:w="1063" w:type="dxa"/>
            <w:noWrap w:val="0"/>
            <w:vAlign w:val="center"/>
          </w:tcPr>
          <w:p>
            <w:pPr>
              <w:pStyle w:val="2"/>
              <w:snapToGrid w:val="0"/>
              <w:ind w:firstLine="0"/>
              <w:jc w:val="center"/>
              <w:rPr>
                <w:rFonts w:hint="eastAsia" w:ascii="宋体" w:hAnsi="宋体" w:cs="宋体"/>
                <w:color w:val="auto"/>
                <w:szCs w:val="21"/>
              </w:rPr>
            </w:pPr>
            <w:r>
              <w:rPr>
                <w:rFonts w:hint="eastAsia" w:ascii="宋体" w:hAnsi="宋体" w:cs="宋体"/>
                <w:color w:val="auto"/>
                <w:szCs w:val="21"/>
              </w:rPr>
              <w:t>2016</w:t>
            </w:r>
          </w:p>
        </w:tc>
        <w:tc>
          <w:tcPr>
            <w:tcW w:w="5058" w:type="dxa"/>
            <w:noWrap w:val="0"/>
            <w:vAlign w:val="center"/>
          </w:tcPr>
          <w:p>
            <w:pPr>
              <w:widowControl/>
              <w:jc w:val="left"/>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地方本科高校转型背景下广告学专业实践教学体系的构建</w:t>
            </w:r>
          </w:p>
        </w:tc>
        <w:tc>
          <w:tcPr>
            <w:tcW w:w="1036" w:type="dxa"/>
            <w:noWrap w:val="0"/>
            <w:vAlign w:val="center"/>
          </w:tcPr>
          <w:p>
            <w:pPr>
              <w:pStyle w:val="2"/>
              <w:snapToGrid w:val="0"/>
              <w:ind w:firstLine="0"/>
              <w:jc w:val="center"/>
              <w:rPr>
                <w:rFonts w:hint="eastAsia" w:ascii="宋体" w:hAnsi="宋体" w:cs="宋体"/>
                <w:color w:val="auto"/>
                <w:szCs w:val="21"/>
              </w:rPr>
            </w:pPr>
            <w:r>
              <w:rPr>
                <w:rFonts w:hint="eastAsia" w:ascii="宋体" w:hAnsi="宋体" w:cs="宋体"/>
                <w:color w:val="auto"/>
                <w:szCs w:val="21"/>
              </w:rPr>
              <w:t>李德团</w:t>
            </w:r>
          </w:p>
        </w:tc>
        <w:tc>
          <w:tcPr>
            <w:tcW w:w="1234" w:type="dxa"/>
            <w:noWrap w:val="0"/>
            <w:vAlign w:val="center"/>
          </w:tcPr>
          <w:p>
            <w:pPr>
              <w:jc w:val="center"/>
              <w:rPr>
                <w:rFonts w:hint="eastAsia" w:ascii="宋体" w:hAnsi="宋体" w:cs="宋体"/>
                <w:szCs w:val="21"/>
              </w:rPr>
            </w:pPr>
            <w:r>
              <w:rPr>
                <w:rFonts w:hint="eastAsia" w:ascii="宋体" w:hAnsi="宋体" w:cs="宋体"/>
                <w:szCs w:val="21"/>
              </w:rPr>
              <w:t>延期结题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37" w:hRule="atLeast"/>
          <w:jc w:val="center"/>
        </w:trPr>
        <w:tc>
          <w:tcPr>
            <w:tcW w:w="641" w:type="dxa"/>
            <w:noWrap w:val="0"/>
            <w:vAlign w:val="center"/>
          </w:tcPr>
          <w:p>
            <w:pPr>
              <w:pStyle w:val="2"/>
              <w:snapToGrid w:val="0"/>
              <w:ind w:firstLine="0"/>
              <w:jc w:val="center"/>
              <w:rPr>
                <w:rFonts w:hint="eastAsia" w:ascii="宋体" w:hAnsi="宋体" w:cs="宋体"/>
                <w:color w:val="auto"/>
                <w:szCs w:val="21"/>
              </w:rPr>
            </w:pPr>
            <w:r>
              <w:rPr>
                <w:rFonts w:hint="eastAsia" w:ascii="宋体" w:hAnsi="宋体" w:cs="宋体"/>
                <w:color w:val="auto"/>
                <w:szCs w:val="21"/>
              </w:rPr>
              <w:t>15</w:t>
            </w:r>
          </w:p>
        </w:tc>
        <w:tc>
          <w:tcPr>
            <w:tcW w:w="1063" w:type="dxa"/>
            <w:noWrap w:val="0"/>
            <w:vAlign w:val="center"/>
          </w:tcPr>
          <w:p>
            <w:pPr>
              <w:pStyle w:val="2"/>
              <w:snapToGrid w:val="0"/>
              <w:ind w:firstLine="0"/>
              <w:jc w:val="center"/>
              <w:rPr>
                <w:rFonts w:hint="eastAsia" w:ascii="宋体" w:hAnsi="宋体" w:cs="宋体"/>
                <w:color w:val="auto"/>
                <w:szCs w:val="21"/>
              </w:rPr>
            </w:pPr>
            <w:r>
              <w:rPr>
                <w:rFonts w:hint="eastAsia" w:ascii="宋体" w:hAnsi="宋体" w:cs="宋体"/>
                <w:color w:val="auto"/>
                <w:szCs w:val="21"/>
              </w:rPr>
              <w:t>2015</w:t>
            </w:r>
          </w:p>
        </w:tc>
        <w:tc>
          <w:tcPr>
            <w:tcW w:w="5058" w:type="dxa"/>
            <w:noWrap w:val="0"/>
            <w:vAlign w:val="center"/>
          </w:tcPr>
          <w:p>
            <w:pPr>
              <w:widowControl/>
              <w:jc w:val="left"/>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体育教育专业民族传统体育课程设置研究——以湖南科技学院为例</w:t>
            </w:r>
          </w:p>
        </w:tc>
        <w:tc>
          <w:tcPr>
            <w:tcW w:w="1036" w:type="dxa"/>
            <w:noWrap w:val="0"/>
            <w:vAlign w:val="center"/>
          </w:tcPr>
          <w:p>
            <w:pPr>
              <w:pStyle w:val="2"/>
              <w:snapToGrid w:val="0"/>
              <w:ind w:firstLine="0"/>
              <w:jc w:val="center"/>
              <w:rPr>
                <w:rFonts w:hint="eastAsia" w:ascii="宋体" w:hAnsi="宋体" w:cs="宋体"/>
                <w:color w:val="auto"/>
                <w:szCs w:val="21"/>
              </w:rPr>
            </w:pPr>
            <w:r>
              <w:rPr>
                <w:rFonts w:hint="eastAsia" w:ascii="宋体" w:hAnsi="宋体" w:cs="宋体"/>
                <w:color w:val="auto"/>
                <w:szCs w:val="21"/>
              </w:rPr>
              <w:t>陈进波</w:t>
            </w:r>
          </w:p>
        </w:tc>
        <w:tc>
          <w:tcPr>
            <w:tcW w:w="1234" w:type="dxa"/>
            <w:noWrap w:val="0"/>
            <w:vAlign w:val="center"/>
          </w:tcPr>
          <w:p>
            <w:pPr>
              <w:jc w:val="center"/>
              <w:rPr>
                <w:rFonts w:hint="eastAsia" w:ascii="宋体" w:hAnsi="宋体" w:cs="宋体"/>
                <w:szCs w:val="21"/>
              </w:rPr>
            </w:pPr>
            <w:r>
              <w:rPr>
                <w:rFonts w:hint="eastAsia" w:ascii="宋体" w:hAnsi="宋体" w:cs="宋体"/>
                <w:szCs w:val="21"/>
              </w:rPr>
              <w:t>延期结题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78" w:hRule="atLeast"/>
          <w:jc w:val="center"/>
        </w:trPr>
        <w:tc>
          <w:tcPr>
            <w:tcW w:w="641" w:type="dxa"/>
            <w:noWrap w:val="0"/>
            <w:vAlign w:val="center"/>
          </w:tcPr>
          <w:p>
            <w:pPr>
              <w:pStyle w:val="2"/>
              <w:snapToGrid w:val="0"/>
              <w:ind w:firstLine="0"/>
              <w:jc w:val="center"/>
              <w:rPr>
                <w:rFonts w:hint="eastAsia" w:ascii="宋体" w:hAnsi="宋体" w:cs="宋体"/>
                <w:color w:val="auto"/>
                <w:szCs w:val="21"/>
              </w:rPr>
            </w:pPr>
            <w:r>
              <w:rPr>
                <w:rFonts w:hint="eastAsia" w:ascii="宋体" w:hAnsi="宋体" w:cs="宋体"/>
                <w:color w:val="auto"/>
                <w:szCs w:val="21"/>
              </w:rPr>
              <w:t>16</w:t>
            </w:r>
          </w:p>
        </w:tc>
        <w:tc>
          <w:tcPr>
            <w:tcW w:w="1063" w:type="dxa"/>
            <w:noWrap w:val="0"/>
            <w:vAlign w:val="center"/>
          </w:tcPr>
          <w:p>
            <w:pPr>
              <w:widowControl/>
              <w:jc w:val="center"/>
              <w:textAlignment w:val="center"/>
              <w:rPr>
                <w:rFonts w:hint="eastAsia" w:ascii="宋体" w:hAnsi="宋体" w:cs="宋体"/>
                <w:szCs w:val="21"/>
              </w:rPr>
            </w:pPr>
            <w:r>
              <w:rPr>
                <w:rFonts w:hint="eastAsia" w:ascii="宋体" w:hAnsi="宋体" w:cs="宋体"/>
                <w:color w:val="000000"/>
                <w:kern w:val="0"/>
                <w:szCs w:val="21"/>
                <w:lang w:bidi="ar"/>
              </w:rPr>
              <w:t>2015</w:t>
            </w:r>
          </w:p>
        </w:tc>
        <w:tc>
          <w:tcPr>
            <w:tcW w:w="5058" w:type="dxa"/>
            <w:noWrap w:val="0"/>
            <w:vAlign w:val="center"/>
          </w:tcPr>
          <w:p>
            <w:pPr>
              <w:widowControl/>
              <w:jc w:val="left"/>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CMOS模拟集成电路教学改革研究与实践</w:t>
            </w:r>
          </w:p>
        </w:tc>
        <w:tc>
          <w:tcPr>
            <w:tcW w:w="1036" w:type="dxa"/>
            <w:noWrap w:val="0"/>
            <w:vAlign w:val="center"/>
          </w:tcPr>
          <w:p>
            <w:pPr>
              <w:pStyle w:val="2"/>
              <w:snapToGrid w:val="0"/>
              <w:ind w:firstLine="0"/>
              <w:jc w:val="center"/>
              <w:rPr>
                <w:rFonts w:hint="eastAsia" w:ascii="宋体" w:hAnsi="宋体" w:cs="宋体"/>
                <w:color w:val="auto"/>
                <w:szCs w:val="21"/>
              </w:rPr>
            </w:pPr>
            <w:r>
              <w:rPr>
                <w:rFonts w:hint="eastAsia" w:ascii="宋体" w:hAnsi="宋体" w:cs="宋体"/>
                <w:color w:val="auto"/>
                <w:szCs w:val="21"/>
              </w:rPr>
              <w:t>何红松</w:t>
            </w:r>
          </w:p>
        </w:tc>
        <w:tc>
          <w:tcPr>
            <w:tcW w:w="1234" w:type="dxa"/>
            <w:noWrap w:val="0"/>
            <w:vAlign w:val="center"/>
          </w:tcPr>
          <w:p>
            <w:pPr>
              <w:snapToGrid w:val="0"/>
              <w:jc w:val="center"/>
              <w:rPr>
                <w:rFonts w:hint="eastAsia" w:ascii="宋体" w:hAnsi="宋体" w:cs="宋体"/>
                <w:szCs w:val="21"/>
              </w:rPr>
            </w:pPr>
            <w:r>
              <w:rPr>
                <w:rFonts w:hint="eastAsia" w:ascii="宋体" w:hAnsi="宋体" w:cs="宋体"/>
                <w:szCs w:val="21"/>
              </w:rPr>
              <w:t>撤项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78" w:hRule="atLeast"/>
          <w:jc w:val="center"/>
        </w:trPr>
        <w:tc>
          <w:tcPr>
            <w:tcW w:w="641" w:type="dxa"/>
            <w:noWrap w:val="0"/>
            <w:vAlign w:val="center"/>
          </w:tcPr>
          <w:p>
            <w:pPr>
              <w:pStyle w:val="2"/>
              <w:snapToGrid w:val="0"/>
              <w:ind w:firstLine="0"/>
              <w:jc w:val="center"/>
              <w:rPr>
                <w:rFonts w:hint="eastAsia" w:ascii="宋体" w:hAnsi="宋体" w:cs="宋体"/>
                <w:color w:val="auto"/>
                <w:szCs w:val="21"/>
              </w:rPr>
            </w:pPr>
            <w:r>
              <w:rPr>
                <w:rFonts w:hint="eastAsia" w:ascii="宋体" w:hAnsi="宋体" w:cs="宋体"/>
                <w:color w:val="auto"/>
                <w:szCs w:val="21"/>
              </w:rPr>
              <w:t>17</w:t>
            </w:r>
          </w:p>
        </w:tc>
        <w:tc>
          <w:tcPr>
            <w:tcW w:w="1063" w:type="dxa"/>
            <w:noWrap w:val="0"/>
            <w:vAlign w:val="center"/>
          </w:tcPr>
          <w:p>
            <w:pPr>
              <w:pStyle w:val="2"/>
              <w:snapToGrid w:val="0"/>
              <w:ind w:firstLine="0"/>
              <w:jc w:val="center"/>
              <w:rPr>
                <w:rFonts w:hint="eastAsia" w:ascii="宋体" w:hAnsi="宋体" w:cs="宋体"/>
                <w:color w:val="auto"/>
                <w:szCs w:val="21"/>
              </w:rPr>
            </w:pPr>
            <w:r>
              <w:rPr>
                <w:rFonts w:hint="eastAsia" w:ascii="宋体" w:hAnsi="宋体" w:cs="宋体"/>
                <w:color w:val="auto"/>
                <w:szCs w:val="21"/>
              </w:rPr>
              <w:t>2017</w:t>
            </w:r>
          </w:p>
        </w:tc>
        <w:tc>
          <w:tcPr>
            <w:tcW w:w="5058" w:type="dxa"/>
            <w:noWrap w:val="0"/>
            <w:vAlign w:val="center"/>
          </w:tcPr>
          <w:p>
            <w:pPr>
              <w:widowControl/>
              <w:jc w:val="left"/>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永州传统文化在基础英语课程教学中的导入研究</w:t>
            </w:r>
          </w:p>
        </w:tc>
        <w:tc>
          <w:tcPr>
            <w:tcW w:w="1036" w:type="dxa"/>
            <w:noWrap w:val="0"/>
            <w:vAlign w:val="center"/>
          </w:tcPr>
          <w:p>
            <w:pPr>
              <w:pStyle w:val="2"/>
              <w:snapToGrid w:val="0"/>
              <w:ind w:firstLine="0"/>
              <w:jc w:val="center"/>
              <w:rPr>
                <w:rFonts w:hint="eastAsia" w:ascii="宋体" w:hAnsi="宋体" w:cs="宋体"/>
                <w:color w:val="auto"/>
                <w:szCs w:val="21"/>
              </w:rPr>
            </w:pPr>
            <w:r>
              <w:rPr>
                <w:rFonts w:hint="eastAsia" w:ascii="宋体" w:hAnsi="宋体" w:cs="宋体"/>
                <w:color w:val="auto"/>
                <w:szCs w:val="21"/>
              </w:rPr>
              <w:t>邓祯</w:t>
            </w:r>
          </w:p>
        </w:tc>
        <w:tc>
          <w:tcPr>
            <w:tcW w:w="1234" w:type="dxa"/>
            <w:noWrap w:val="0"/>
            <w:vAlign w:val="center"/>
          </w:tcPr>
          <w:p>
            <w:pPr>
              <w:snapToGrid w:val="0"/>
              <w:jc w:val="center"/>
              <w:rPr>
                <w:rFonts w:hint="eastAsia" w:ascii="宋体" w:hAnsi="宋体" w:cs="宋体"/>
                <w:szCs w:val="21"/>
              </w:rPr>
            </w:pPr>
            <w:r>
              <w:rPr>
                <w:rFonts w:hint="eastAsia" w:ascii="宋体" w:hAnsi="宋体" w:cs="宋体"/>
                <w:szCs w:val="21"/>
              </w:rPr>
              <w:t>撤项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78" w:hRule="atLeast"/>
          <w:jc w:val="center"/>
        </w:trPr>
        <w:tc>
          <w:tcPr>
            <w:tcW w:w="641" w:type="dxa"/>
            <w:noWrap w:val="0"/>
            <w:vAlign w:val="center"/>
          </w:tcPr>
          <w:p>
            <w:pPr>
              <w:pStyle w:val="2"/>
              <w:snapToGrid w:val="0"/>
              <w:ind w:firstLine="0"/>
              <w:jc w:val="center"/>
              <w:rPr>
                <w:rFonts w:hint="eastAsia" w:ascii="宋体" w:hAnsi="宋体" w:cs="宋体"/>
                <w:color w:val="auto"/>
                <w:szCs w:val="21"/>
              </w:rPr>
            </w:pPr>
            <w:r>
              <w:rPr>
                <w:rFonts w:hint="eastAsia" w:ascii="宋体" w:hAnsi="宋体" w:cs="宋体"/>
                <w:color w:val="auto"/>
                <w:szCs w:val="21"/>
              </w:rPr>
              <w:t>18</w:t>
            </w:r>
          </w:p>
        </w:tc>
        <w:tc>
          <w:tcPr>
            <w:tcW w:w="1063" w:type="dxa"/>
            <w:noWrap w:val="0"/>
            <w:vAlign w:val="center"/>
          </w:tcPr>
          <w:p>
            <w:pPr>
              <w:pStyle w:val="2"/>
              <w:snapToGrid w:val="0"/>
              <w:ind w:firstLine="0"/>
              <w:jc w:val="center"/>
              <w:rPr>
                <w:rFonts w:hint="eastAsia" w:ascii="宋体" w:hAnsi="宋体" w:cs="宋体"/>
                <w:color w:val="auto"/>
                <w:szCs w:val="21"/>
              </w:rPr>
            </w:pPr>
            <w:r>
              <w:rPr>
                <w:rFonts w:hint="eastAsia" w:ascii="宋体" w:hAnsi="宋体" w:cs="宋体"/>
                <w:color w:val="auto"/>
                <w:szCs w:val="21"/>
              </w:rPr>
              <w:t>2017</w:t>
            </w:r>
          </w:p>
        </w:tc>
        <w:tc>
          <w:tcPr>
            <w:tcW w:w="5058" w:type="dxa"/>
            <w:noWrap w:val="0"/>
            <w:vAlign w:val="center"/>
          </w:tcPr>
          <w:p>
            <w:pPr>
              <w:widowControl/>
              <w:jc w:val="left"/>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Seminar教学法在“系统分析与设计”课程中的应用</w:t>
            </w:r>
          </w:p>
        </w:tc>
        <w:tc>
          <w:tcPr>
            <w:tcW w:w="1036" w:type="dxa"/>
            <w:noWrap w:val="0"/>
            <w:vAlign w:val="center"/>
          </w:tcPr>
          <w:p>
            <w:pPr>
              <w:pStyle w:val="2"/>
              <w:snapToGrid w:val="0"/>
              <w:ind w:firstLine="0"/>
              <w:jc w:val="center"/>
              <w:rPr>
                <w:rFonts w:hint="eastAsia" w:ascii="宋体" w:hAnsi="宋体" w:cs="宋体"/>
                <w:color w:val="auto"/>
                <w:szCs w:val="21"/>
              </w:rPr>
            </w:pPr>
            <w:r>
              <w:rPr>
                <w:rFonts w:hint="eastAsia" w:ascii="宋体" w:hAnsi="宋体" w:cs="宋体"/>
                <w:color w:val="auto"/>
                <w:szCs w:val="21"/>
              </w:rPr>
              <w:t>黄伟国</w:t>
            </w:r>
          </w:p>
        </w:tc>
        <w:tc>
          <w:tcPr>
            <w:tcW w:w="1234" w:type="dxa"/>
            <w:noWrap w:val="0"/>
            <w:vAlign w:val="center"/>
          </w:tcPr>
          <w:p>
            <w:pPr>
              <w:jc w:val="center"/>
              <w:rPr>
                <w:rFonts w:hint="eastAsia" w:ascii="宋体" w:hAnsi="宋体" w:cs="宋体"/>
                <w:szCs w:val="21"/>
              </w:rPr>
            </w:pPr>
            <w:r>
              <w:rPr>
                <w:rFonts w:hint="eastAsia" w:ascii="宋体" w:hAnsi="宋体" w:cs="宋体"/>
                <w:szCs w:val="21"/>
              </w:rPr>
              <w:t>撤项</w:t>
            </w:r>
          </w:p>
        </w:tc>
      </w:tr>
    </w:tbl>
    <w:p>
      <w:pPr>
        <w:tabs>
          <w:tab w:val="left" w:pos="4997"/>
        </w:tabs>
        <w:jc w:val="left"/>
        <w:rPr>
          <w:rFonts w:hint="eastAsia"/>
        </w:rPr>
      </w:pPr>
    </w:p>
    <w:p/>
    <w:sectPr>
      <w:footerReference r:id="rId3" w:type="default"/>
      <w:footerReference r:id="rId4" w:type="even"/>
      <w:pgSz w:w="11906" w:h="16838"/>
      <w:pgMar w:top="1440" w:right="1740" w:bottom="1440" w:left="174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fldChar w:fldCharType="begin"/>
    </w:r>
    <w:r>
      <w:rPr>
        <w:rStyle w:val="6"/>
      </w:rPr>
      <w:instrText xml:space="preserve">PAGE  </w:instrText>
    </w:r>
    <w:r>
      <w:fldChar w:fldCharType="separate"/>
    </w:r>
    <w:r>
      <w:rPr>
        <w:rStyle w:val="6"/>
      </w:rPr>
      <w:t>3</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fldChar w:fldCharType="begin"/>
    </w:r>
    <w:r>
      <w:rPr>
        <w:rStyle w:val="6"/>
      </w:rPr>
      <w:instrText xml:space="preserve">PAGE  </w:instrText>
    </w:r>
    <w: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7CA5362"/>
    <w:rsid w:val="65412245"/>
    <w:rsid w:val="66AE68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Body Text Indent"/>
    <w:basedOn w:val="1"/>
    <w:next w:val="1"/>
    <w:qFormat/>
    <w:uiPriority w:val="0"/>
    <w:pPr>
      <w:widowControl/>
      <w:ind w:firstLine="420"/>
    </w:pPr>
    <w:rPr>
      <w:color w:val="000000"/>
    </w:rPr>
  </w:style>
  <w:style w:type="paragraph" w:styleId="3">
    <w:name w:val="footer"/>
    <w:basedOn w:val="1"/>
    <w:qFormat/>
    <w:uiPriority w:val="0"/>
    <w:pPr>
      <w:tabs>
        <w:tab w:val="center" w:pos="4153"/>
        <w:tab w:val="right" w:pos="8306"/>
      </w:tabs>
      <w:snapToGrid w:val="0"/>
      <w:jc w:val="left"/>
    </w:pPr>
    <w:rPr>
      <w:sz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Office_11.1.0.9005_F1E327BC-269C-435d-A152-05C5408002CA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Jenny </cp:lastModifiedBy>
  <dcterms:modified xsi:type="dcterms:W3CDTF">2019-11-01T09:52:16Z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2052-11.1.0.9005</vt:lpwstr>
  </property>
</Properties>
</file>